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BE6" w:rsidRDefault="00A507D4" w:rsidP="001F3FB0">
      <w:r>
        <w:t>CFP- Great War geographies of militar</w:t>
      </w:r>
      <w:r w:rsidR="00F306C7">
        <w:t xml:space="preserve">ism and </w:t>
      </w:r>
      <w:r w:rsidR="00460180">
        <w:t xml:space="preserve">the </w:t>
      </w:r>
      <w:r w:rsidR="00F306C7">
        <w:t>resonances of total war</w:t>
      </w:r>
    </w:p>
    <w:p w:rsidR="00C63BE6" w:rsidRDefault="00C63BE6" w:rsidP="001F3FB0">
      <w:r>
        <w:t>American Association of Geographers annual conference</w:t>
      </w:r>
    </w:p>
    <w:p w:rsidR="00C63BE6" w:rsidRDefault="00C63BE6" w:rsidP="001F3FB0">
      <w:r>
        <w:t>New Orleans, Louisiana, USA</w:t>
      </w:r>
    </w:p>
    <w:p w:rsidR="00C63BE6" w:rsidRDefault="00C63BE6" w:rsidP="001F3FB0">
      <w:r>
        <w:t>April 10-14, 2018</w:t>
      </w:r>
    </w:p>
    <w:p w:rsidR="00A507D4" w:rsidRDefault="00A507D4" w:rsidP="001F3FB0"/>
    <w:p w:rsidR="001F3FB0" w:rsidRDefault="001F3FB0" w:rsidP="006922AC">
      <w:pPr>
        <w:ind w:firstLine="720"/>
      </w:pPr>
      <w:r>
        <w:t xml:space="preserve">As the centenary years of the “War to End All Wars” draw to a close, </w:t>
      </w:r>
      <w:r w:rsidR="00E7415F">
        <w:t xml:space="preserve">now is the ideal time </w:t>
      </w:r>
      <w:r w:rsidR="003B2C83">
        <w:t xml:space="preserve">not only </w:t>
      </w:r>
      <w:r w:rsidR="00E7415F">
        <w:t>to take advantage of the popular and a</w:t>
      </w:r>
      <w:r w:rsidR="009E384B">
        <w:t>cademic surge of interest in the First World War</w:t>
      </w:r>
      <w:r w:rsidR="00E7415F">
        <w:t xml:space="preserve"> but also to stress the </w:t>
      </w:r>
      <w:r w:rsidR="00CA790B">
        <w:t>distant</w:t>
      </w:r>
      <w:r w:rsidR="00E7415F">
        <w:t xml:space="preserve"> and lasting impacts of this and other conflicts beyond the battlefield and after the official cessation of hostilities.</w:t>
      </w:r>
      <w:r w:rsidR="00F82891">
        <w:t xml:space="preserve"> Geographical concerns</w:t>
      </w:r>
      <w:r w:rsidR="00F71675">
        <w:t xml:space="preserve"> have been at the heart of cutting-edge Great War historiography</w:t>
      </w:r>
      <w:r w:rsidR="00F82891">
        <w:t xml:space="preserve"> from</w:t>
      </w:r>
      <w:r w:rsidR="00BB1162">
        <w:t xml:space="preserve"> Wilson’s </w:t>
      </w:r>
      <w:r w:rsidR="00715481">
        <w:t xml:space="preserve">(2012) </w:t>
      </w:r>
      <w:r w:rsidR="00BB1162">
        <w:t>discussion of the co-constitution of battlefield landscapes and soldiers’</w:t>
      </w:r>
      <w:r w:rsidR="00F82891">
        <w:t xml:space="preserve"> identities</w:t>
      </w:r>
      <w:r w:rsidR="00214C40">
        <w:t xml:space="preserve"> on the Western Front</w:t>
      </w:r>
      <w:r w:rsidR="00F82891">
        <w:t>,</w:t>
      </w:r>
      <w:r w:rsidR="00214C40">
        <w:t xml:space="preserve"> to Johnson’s </w:t>
      </w:r>
      <w:r w:rsidR="00715481">
        <w:t xml:space="preserve">(2003) </w:t>
      </w:r>
      <w:r w:rsidR="00214C40">
        <w:t xml:space="preserve">work on the routes of memorial parades as political statements in Ireland, to </w:t>
      </w:r>
      <w:r w:rsidR="00F82891">
        <w:t xml:space="preserve">Ziino’s </w:t>
      </w:r>
      <w:r w:rsidR="00715481">
        <w:t xml:space="preserve">(2007) </w:t>
      </w:r>
      <w:r w:rsidR="00F82891">
        <w:t xml:space="preserve">exploration of the way physical distance structured </w:t>
      </w:r>
      <w:r w:rsidR="00214C40">
        <w:t xml:space="preserve">postwar </w:t>
      </w:r>
      <w:r w:rsidR="00F82891">
        <w:t>grief in Australia</w:t>
      </w:r>
      <w:r w:rsidR="00214C40">
        <w:t xml:space="preserve">.  </w:t>
      </w:r>
      <w:r w:rsidR="006922AC">
        <w:t>T</w:t>
      </w:r>
      <w:r w:rsidR="00214C40">
        <w:t xml:space="preserve">hese and other works </w:t>
      </w:r>
      <w:r w:rsidR="00CA790B">
        <w:t xml:space="preserve">echo </w:t>
      </w:r>
      <w:r w:rsidR="00C15370">
        <w:t xml:space="preserve">arguments made by </w:t>
      </w:r>
      <w:r w:rsidR="00BB1162">
        <w:t xml:space="preserve">Woodward </w:t>
      </w:r>
      <w:r w:rsidR="00715481">
        <w:t xml:space="preserve">(2005) </w:t>
      </w:r>
      <w:r w:rsidR="00BB1162">
        <w:t>and others</w:t>
      </w:r>
      <w:r w:rsidR="00CA790B">
        <w:t xml:space="preserve"> for the need</w:t>
      </w:r>
      <w:r w:rsidR="00BB1162">
        <w:t xml:space="preserve"> </w:t>
      </w:r>
      <w:r w:rsidR="00CA790B">
        <w:t>to engage with a critically informed “geographies of militarism</w:t>
      </w:r>
      <w:r w:rsidR="006922AC">
        <w:t>,</w:t>
      </w:r>
      <w:r w:rsidR="00CA790B">
        <w:t xml:space="preserve">” </w:t>
      </w:r>
      <w:r w:rsidR="006922AC">
        <w:t>stressing</w:t>
      </w:r>
      <w:r w:rsidR="00CA790B">
        <w:t xml:space="preserve"> that the implications of military practices and ideologies are more broad, intimate and persistent </w:t>
      </w:r>
      <w:r w:rsidR="006922AC">
        <w:t>than can be understood through a myopic</w:t>
      </w:r>
      <w:r w:rsidR="00B560CA">
        <w:t>, objectivist</w:t>
      </w:r>
      <w:r w:rsidR="009E384B">
        <w:t xml:space="preserve"> focus on terrain</w:t>
      </w:r>
      <w:r w:rsidR="00B560CA">
        <w:t xml:space="preserve"> or wartime</w:t>
      </w:r>
      <w:r w:rsidR="009E384B">
        <w:t>.</w:t>
      </w:r>
    </w:p>
    <w:p w:rsidR="00F306C7" w:rsidRDefault="00F71675" w:rsidP="00123894">
      <w:pPr>
        <w:ind w:firstLine="720"/>
      </w:pPr>
      <w:r>
        <w:t xml:space="preserve">World War I in particular offers a </w:t>
      </w:r>
      <w:r w:rsidR="006922AC">
        <w:t>rich source for scholarly work i</w:t>
      </w:r>
      <w:r>
        <w:t xml:space="preserve">n military, cultural, </w:t>
      </w:r>
      <w:r w:rsidR="006922AC">
        <w:t xml:space="preserve">historical </w:t>
      </w:r>
      <w:r>
        <w:t xml:space="preserve">and population geography, as well as spatial analysis. </w:t>
      </w:r>
      <w:r w:rsidR="006922AC">
        <w:t>The pieces cited above suggest the potential for further study of the First World War through investigations of human-environment interactions, scale, mobilities, embodiment</w:t>
      </w:r>
      <w:r w:rsidR="009E384B">
        <w:t xml:space="preserve"> and corporeality</w:t>
      </w:r>
      <w:r w:rsidR="006922AC">
        <w:t xml:space="preserve">, and the material and discursive construction of space.  </w:t>
      </w:r>
      <w:r w:rsidR="00F306C7">
        <w:t>For instance,</w:t>
      </w:r>
      <w:r w:rsidR="006A3387">
        <w:t xml:space="preserve"> Cronier (2007, 58) has written that the distinction between home and front was “not just a geographical distinction but a normative one” yet this dichotomy was problematized </w:t>
      </w:r>
      <w:r w:rsidR="00713174">
        <w:t>by soldiers maintaining relationships with the civilian population or being present in ‘civilian’ spaces while on leave. How did material and discursive constructions of military versus civilian space</w:t>
      </w:r>
      <w:r w:rsidR="00F306C7">
        <w:t xml:space="preserve"> </w:t>
      </w:r>
      <w:r w:rsidR="00713174">
        <w:t>s</w:t>
      </w:r>
      <w:r w:rsidR="00A572A2">
        <w:t xml:space="preserve">tructure these dynamics in </w:t>
      </w:r>
      <w:r w:rsidR="00713174">
        <w:t>places</w:t>
      </w:r>
      <w:r w:rsidR="00A572A2">
        <w:t xml:space="preserve"> other</w:t>
      </w:r>
      <w:r w:rsidR="00713174">
        <w:t xml:space="preserve"> than the European capitals that Cronier studies? </w:t>
      </w:r>
      <w:r w:rsidR="00A572A2">
        <w:t>There is a robust body of work on WWI memorials, but less so on the (dis)connection between mourning in public versus private spaces</w:t>
      </w:r>
      <w:r w:rsidR="003B239F">
        <w:t>, on ‘utilitarian’</w:t>
      </w:r>
      <w:r w:rsidR="00013AE5">
        <w:t xml:space="preserve"> memorials,</w:t>
      </w:r>
      <w:r w:rsidR="003B239F">
        <w:t xml:space="preserve"> </w:t>
      </w:r>
      <w:r w:rsidR="007403DD">
        <w:t xml:space="preserve">on </w:t>
      </w:r>
      <w:r w:rsidR="003B239F">
        <w:t>memorials themselves as sites of conflict</w:t>
      </w:r>
      <w:r w:rsidR="007403DD">
        <w:t>,</w:t>
      </w:r>
      <w:r w:rsidR="00013AE5">
        <w:t xml:space="preserve"> or indeed </w:t>
      </w:r>
      <w:r w:rsidR="007403DD">
        <w:t xml:space="preserve">on </w:t>
      </w:r>
      <w:r w:rsidR="00013AE5">
        <w:t>how veterans and</w:t>
      </w:r>
      <w:r w:rsidR="007403DD">
        <w:t xml:space="preserve"> their histories were present in other ways in postwar places</w:t>
      </w:r>
      <w:r w:rsidR="00013AE5">
        <w:t xml:space="preserve"> </w:t>
      </w:r>
      <w:r w:rsidR="00A572A2">
        <w:t xml:space="preserve"> </w:t>
      </w:r>
      <w:r w:rsidR="003B239F">
        <w:t>(Trout, 2010)</w:t>
      </w:r>
      <w:r w:rsidR="00A572A2">
        <w:t>.</w:t>
      </w:r>
      <w:r w:rsidR="00013AE5">
        <w:t xml:space="preserve"> </w:t>
      </w:r>
      <w:r w:rsidR="00F41A95">
        <w:t xml:space="preserve">How might the </w:t>
      </w:r>
      <w:r w:rsidR="00ED7593">
        <w:t xml:space="preserve">study of the postwar world be </w:t>
      </w:r>
      <w:r w:rsidR="00F41A95">
        <w:t>invigorated by a focus on those who returned from emplaced battlefield experiences, who literally embodied the conflict</w:t>
      </w:r>
      <w:r w:rsidR="00ED7593">
        <w:t>,</w:t>
      </w:r>
      <w:r w:rsidR="00123894">
        <w:t xml:space="preserve"> and whose place in civilian life needed to be renegotiated in the years and decades after the armistice?</w:t>
      </w:r>
      <w:r w:rsidR="00F41A95">
        <w:t xml:space="preserve"> </w:t>
      </w:r>
      <w:r w:rsidR="00013AE5">
        <w:t>Nuanced d</w:t>
      </w:r>
      <w:r w:rsidR="00B706FB">
        <w:t xml:space="preserve">iscussion of race, gender and intersectionality have </w:t>
      </w:r>
      <w:r w:rsidR="00013AE5">
        <w:t>filtered</w:t>
      </w:r>
      <w:r w:rsidR="00B706FB">
        <w:t xml:space="preserve"> back into social histories of the war</w:t>
      </w:r>
      <w:r w:rsidR="00013AE5">
        <w:t xml:space="preserve">, providing a better bridge between studies of individual experience and societal context – a necessity in the study of total war, according to Chickering (2011); engaging </w:t>
      </w:r>
      <w:r w:rsidR="007403DD">
        <w:t>with these topics through mapping or critical quantitative methods is an avenue almost completely unexplored.</w:t>
      </w:r>
      <w:r w:rsidR="00123894">
        <w:t xml:space="preserve"> How might the study of the Great War be furthered along this front?</w:t>
      </w:r>
    </w:p>
    <w:p w:rsidR="00A572A2" w:rsidRDefault="003B2C83" w:rsidP="00123894">
      <w:pPr>
        <w:ind w:firstLine="720"/>
      </w:pPr>
      <w:r>
        <w:t xml:space="preserve">Great War studies and other critical conflict studies </w:t>
      </w:r>
      <w:r w:rsidR="00F306C7">
        <w:t xml:space="preserve">also </w:t>
      </w:r>
      <w:r>
        <w:t>have much to gain from being put into con</w:t>
      </w:r>
      <w:r w:rsidR="00F71675">
        <w:t xml:space="preserve">versation with each other. </w:t>
      </w:r>
      <w:r w:rsidR="00F75EF4">
        <w:t xml:space="preserve"> </w:t>
      </w:r>
      <w:r w:rsidR="00A572A2">
        <w:t>Saunders and Cornish</w:t>
      </w:r>
      <w:r w:rsidR="00AE6C8A">
        <w:t>’s</w:t>
      </w:r>
      <w:r w:rsidR="00A572A2">
        <w:t xml:space="preserve"> (2013)</w:t>
      </w:r>
      <w:r w:rsidR="00AE6C8A">
        <w:t xml:space="preserve"> discussion of how Italian causalities were removed from named graves along the Isonzo Front to mass graves to serve the purposes of the fascist government resonates with other work on the reshaping of the geography of death for political ends, whether on thanatopoltics in 20</w:t>
      </w:r>
      <w:r w:rsidR="00AE6C8A" w:rsidRPr="00AE6C8A">
        <w:rPr>
          <w:vertAlign w:val="superscript"/>
        </w:rPr>
        <w:t>th</w:t>
      </w:r>
      <w:r w:rsidR="00AE6C8A">
        <w:t xml:space="preserve"> century Cambodia (Tyner, 2009) or </w:t>
      </w:r>
      <w:r w:rsidR="00264FBE">
        <w:t xml:space="preserve">on </w:t>
      </w:r>
      <w:r w:rsidR="00AE6C8A">
        <w:t xml:space="preserve">the construction of “the </w:t>
      </w:r>
      <w:r w:rsidR="00AE6C8A">
        <w:lastRenderedPageBreak/>
        <w:t>grievable death”</w:t>
      </w:r>
      <w:r w:rsidR="00264FBE">
        <w:t xml:space="preserve"> in the 21</w:t>
      </w:r>
      <w:r w:rsidR="00264FBE" w:rsidRPr="00264FBE">
        <w:rPr>
          <w:vertAlign w:val="superscript"/>
        </w:rPr>
        <w:t>st</w:t>
      </w:r>
      <w:r w:rsidR="00264FBE">
        <w:t xml:space="preserve"> century War on Terror</w:t>
      </w:r>
      <w:r w:rsidR="00AE6C8A">
        <w:t xml:space="preserve"> (Romanillos, 2014, 8)</w:t>
      </w:r>
      <w:r w:rsidR="00264FBE">
        <w:t xml:space="preserve">.  </w:t>
      </w:r>
      <w:r w:rsidR="00A12904">
        <w:t xml:space="preserve">The construction of home and front during the Great War was strongly gendered (Capozolla et al, </w:t>
      </w:r>
      <w:r w:rsidR="00B76026">
        <w:t>2015)</w:t>
      </w:r>
      <w:r w:rsidR="00460180">
        <w:t>; the spatialized</w:t>
      </w:r>
      <w:r w:rsidR="00A12904">
        <w:t xml:space="preserve"> n</w:t>
      </w:r>
      <w:r w:rsidR="00460180">
        <w:t>ormativity of women’s</w:t>
      </w:r>
      <w:r w:rsidR="00A12904">
        <w:t xml:space="preserve"> roles in WWI were echoed in</w:t>
      </w:r>
      <w:r w:rsidR="00B76026">
        <w:t xml:space="preserve"> responses to</w:t>
      </w:r>
      <w:r w:rsidR="00A12904">
        <w:t xml:space="preserve"> the Cold War Women’s Peace Camp at Greenham Common as described by Cresswell (1994).</w:t>
      </w:r>
      <w:r w:rsidR="00B76026">
        <w:t xml:space="preserve"> </w:t>
      </w:r>
      <w:r w:rsidR="00264FBE">
        <w:t>Although some WWI work is deliberately framed to speak to current patterns of militarism (e.g. Kinder, 2015; Hawkins, 2014)</w:t>
      </w:r>
      <w:r w:rsidR="00B76026">
        <w:t>, casting such inquires through an explicitly geographical lens promises to bring further insight into total war, its evolution, and our changing understanding of conflict.</w:t>
      </w:r>
    </w:p>
    <w:p w:rsidR="00460180" w:rsidRDefault="00123894" w:rsidP="00460180">
      <w:pPr>
        <w:ind w:firstLine="720"/>
      </w:pPr>
      <w:r>
        <w:t xml:space="preserve">With these motivations in mind, I am proposing a session at the 2018 AAG meeting on critical military geographies with a special emphasis on the First World War.  Submissions from a diversity of subfields and employing a variety of methodologies are welcomed. </w:t>
      </w:r>
      <w:r w:rsidR="00DF076A">
        <w:t xml:space="preserve"> Although papers with a strong focus on the Great War are particularly encouraged, papers on other conflicts will also be considered.</w:t>
      </w:r>
      <w:r w:rsidR="000126D2">
        <w:t xml:space="preserve"> </w:t>
      </w:r>
      <w:r w:rsidR="00F75EF4">
        <w:t>A ‘pre CFP’ issued s</w:t>
      </w:r>
      <w:r w:rsidR="006A3387">
        <w:t xml:space="preserve">ome weeks ago has already stirred nearly enough interest to compose a full session. Should there be sufficient further interest in Great War geographies of </w:t>
      </w:r>
      <w:r w:rsidR="00460180">
        <w:t>militarism and its resonances, I will propose a second session</w:t>
      </w:r>
      <w:r w:rsidR="006A3387">
        <w:t>.</w:t>
      </w:r>
      <w:r w:rsidR="00460180">
        <w:t xml:space="preserve"> Please submit abstracts </w:t>
      </w:r>
      <w:r w:rsidR="00EA289B">
        <w:t xml:space="preserve">by October </w:t>
      </w:r>
      <w:r w:rsidR="000D28F3">
        <w:t>18</w:t>
      </w:r>
      <w:bookmarkStart w:id="0" w:name="_GoBack"/>
      <w:bookmarkEnd w:id="0"/>
      <w:r w:rsidR="00460180">
        <w:t xml:space="preserve"> and direct </w:t>
      </w:r>
      <w:r w:rsidR="00EA289B">
        <w:t xml:space="preserve">your 8-digit program identification number and any </w:t>
      </w:r>
      <w:r w:rsidR="00460180">
        <w:t>questions to angela.cunningham@colorado.edu.</w:t>
      </w:r>
    </w:p>
    <w:p w:rsidR="00460180" w:rsidRDefault="00460180" w:rsidP="00EA289B"/>
    <w:p w:rsidR="00FE6E4E" w:rsidRDefault="00FE6E4E" w:rsidP="00F71675">
      <w:pPr>
        <w:ind w:firstLine="720"/>
      </w:pPr>
    </w:p>
    <w:p w:rsidR="00715481" w:rsidRDefault="00715481" w:rsidP="00715481">
      <w:r>
        <w:t>Works cited:</w:t>
      </w:r>
    </w:p>
    <w:p w:rsidR="00B76026" w:rsidRDefault="00B76026" w:rsidP="00715481">
      <w:r w:rsidRPr="00B76026">
        <w:t>Capozzola, C.,</w:t>
      </w:r>
      <w:r>
        <w:t xml:space="preserve"> et al.</w:t>
      </w:r>
      <w:r w:rsidRPr="00B76026">
        <w:t xml:space="preserve"> (2015). Interchange: World War I. Journal of American History, 102(2), 463–499. https://doi.org/10.1093/jahist/jav474</w:t>
      </w:r>
    </w:p>
    <w:p w:rsidR="00013AE5" w:rsidRDefault="00013AE5" w:rsidP="00715481">
      <w:r w:rsidRPr="00013AE5">
        <w:t>Chickering, R. (2011). Why are we still interested in this old war? In J. D. Keene &amp; M. S. Neiberg (Eds.), Finding common ground: new directions in First World War</w:t>
      </w:r>
      <w:r>
        <w:t xml:space="preserve"> </w:t>
      </w:r>
      <w:r w:rsidRPr="00013AE5">
        <w:t>studies (pp. 3–18). Leiden: Brill.</w:t>
      </w:r>
    </w:p>
    <w:p w:rsidR="00264FBE" w:rsidRDefault="00264FBE" w:rsidP="00715481">
      <w:r w:rsidRPr="00264FBE">
        <w:t>Cresswell, T. (1994). Putting women in their place: the carnival at Greenham Common. Antipode, 26(1), 35–58. https://doi.org/10.1111/j.1467-8330.1994.tb00230.x</w:t>
      </w:r>
    </w:p>
    <w:p w:rsidR="003B239F" w:rsidRDefault="003B239F" w:rsidP="00715481">
      <w:r w:rsidRPr="003B239F">
        <w:t>Cronier, E. (2007). The street. In J. Winter &amp; J.-L. Robert (Eds.), Capital cities as war: Paris, London, Berlin 1914-1919 (Vol. 2, pp. 57–104). Cambridge: Cambridge University Press.</w:t>
      </w:r>
    </w:p>
    <w:p w:rsidR="00264FBE" w:rsidRDefault="00264FBE" w:rsidP="00715481">
      <w:r w:rsidRPr="00264FBE">
        <w:t>Hawkins, T. (2014). The Great War, the Iraq War, and postmodern America: Kevin Powers’ The Yellow Birds and the radical isolation of today’s U.S. veterans. In M. Löschnigg &amp; M. Sokołowska-Paryż (Eds.), The Great War in post-memory literature and film (pp. 95–105). Berlin: De Gruyter.</w:t>
      </w:r>
    </w:p>
    <w:p w:rsidR="00715481" w:rsidRDefault="00715481" w:rsidP="00715481">
      <w:r>
        <w:t>Johnson, N. C. (2003). Ireland, the Great War and the geography of remembrance. Cambridge: Cambridge University Press.</w:t>
      </w:r>
    </w:p>
    <w:p w:rsidR="00264FBE" w:rsidRDefault="00264FBE" w:rsidP="00715481">
      <w:r w:rsidRPr="00264FBE">
        <w:t>Kinder, J. M. (2015). Paying with their bodies: American war and the problem of the disabled veteran. Chicago: The University of Chicago Press.</w:t>
      </w:r>
    </w:p>
    <w:p w:rsidR="007403DD" w:rsidRDefault="007403DD" w:rsidP="00715481">
      <w:r w:rsidRPr="007403DD">
        <w:t>Romanillos, J. L. (2014). Mortal questions geographies on the other side of life. Progress in Human Geography,</w:t>
      </w:r>
      <w:r w:rsidR="00AE6C8A">
        <w:t xml:space="preserve"> 39 (5), 560-79</w:t>
      </w:r>
      <w:r w:rsidRPr="007403DD">
        <w:t>. https://doi.org/10.1177/0309132514545908</w:t>
      </w:r>
    </w:p>
    <w:p w:rsidR="00A572A2" w:rsidRDefault="003B239F" w:rsidP="00715481">
      <w:r w:rsidRPr="003B239F">
        <w:t xml:space="preserve">Saunders, N. J </w:t>
      </w:r>
      <w:r>
        <w:t xml:space="preserve">&amp; Cornish, P. (2013) Introduction, In N.J. Saunders &amp; P. Cornish (Eds.). </w:t>
      </w:r>
      <w:r w:rsidRPr="003B239F">
        <w:t>Bodies in conflict: corporeality, materiality, and transformation</w:t>
      </w:r>
      <w:r>
        <w:t xml:space="preserve"> (pp 1-8)</w:t>
      </w:r>
      <w:r w:rsidRPr="003B239F">
        <w:t>. London: Routledge.</w:t>
      </w:r>
    </w:p>
    <w:p w:rsidR="003B239F" w:rsidRDefault="003B239F" w:rsidP="00715481">
      <w:r w:rsidRPr="003B239F">
        <w:lastRenderedPageBreak/>
        <w:t>Trout, S. (2010). On the battlefield of memory: The First World War and American remembrance, 1919-1941. Tuscaloosa: University of Alabama Press.</w:t>
      </w:r>
    </w:p>
    <w:p w:rsidR="00AE6C8A" w:rsidRDefault="00AE6C8A" w:rsidP="00715481">
      <w:r>
        <w:t>Tyner, J. A. (2009). War</w:t>
      </w:r>
      <w:r w:rsidRPr="00AE6C8A">
        <w:t>, violence and population: making the body count. New York: Guilford Press.</w:t>
      </w:r>
    </w:p>
    <w:p w:rsidR="00715481" w:rsidRDefault="00715481" w:rsidP="00715481">
      <w:r>
        <w:t>Wilson, R. J. (2012). Landscapes of the Western Front: materiality during the Great War. New York: Routledge.</w:t>
      </w:r>
    </w:p>
    <w:p w:rsidR="00715481" w:rsidRDefault="00715481" w:rsidP="00715481">
      <w:r>
        <w:t>Woodward, R. (2005). From military geography to militarism’s geographies: disciplinary engagements with geographies of militarism and military activities. Progress in Human Geography, 29(6), 718–40.</w:t>
      </w:r>
    </w:p>
    <w:p w:rsidR="00715481" w:rsidRDefault="00715481" w:rsidP="00715481">
      <w:r>
        <w:t>Ziino, B. (2007). A distant grief: Australians, war graves and the Great War. Crawley, W.A: University of Western Australia Press.</w:t>
      </w:r>
    </w:p>
    <w:p w:rsidR="003E47D0" w:rsidRDefault="003E47D0" w:rsidP="005E050A"/>
    <w:sectPr w:rsidR="003E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B0"/>
    <w:rsid w:val="000126D2"/>
    <w:rsid w:val="00013AE5"/>
    <w:rsid w:val="000D28F3"/>
    <w:rsid w:val="00123894"/>
    <w:rsid w:val="001F3FB0"/>
    <w:rsid w:val="0020780A"/>
    <w:rsid w:val="00214C40"/>
    <w:rsid w:val="00264FBE"/>
    <w:rsid w:val="00297A30"/>
    <w:rsid w:val="003B239F"/>
    <w:rsid w:val="003B2C83"/>
    <w:rsid w:val="003E47D0"/>
    <w:rsid w:val="00460180"/>
    <w:rsid w:val="004F204E"/>
    <w:rsid w:val="005402DC"/>
    <w:rsid w:val="005E050A"/>
    <w:rsid w:val="006922AC"/>
    <w:rsid w:val="006A3387"/>
    <w:rsid w:val="00713174"/>
    <w:rsid w:val="00715481"/>
    <w:rsid w:val="007403DD"/>
    <w:rsid w:val="0088245A"/>
    <w:rsid w:val="008B125A"/>
    <w:rsid w:val="008C10DF"/>
    <w:rsid w:val="009D4AF3"/>
    <w:rsid w:val="009E384B"/>
    <w:rsid w:val="00A05576"/>
    <w:rsid w:val="00A12904"/>
    <w:rsid w:val="00A507D4"/>
    <w:rsid w:val="00A572A2"/>
    <w:rsid w:val="00AE6C8A"/>
    <w:rsid w:val="00B43EDD"/>
    <w:rsid w:val="00B560CA"/>
    <w:rsid w:val="00B706FB"/>
    <w:rsid w:val="00B76026"/>
    <w:rsid w:val="00BB1162"/>
    <w:rsid w:val="00C15370"/>
    <w:rsid w:val="00C63BE6"/>
    <w:rsid w:val="00CA790B"/>
    <w:rsid w:val="00DF076A"/>
    <w:rsid w:val="00E7415F"/>
    <w:rsid w:val="00EA289B"/>
    <w:rsid w:val="00ED7593"/>
    <w:rsid w:val="00F306C7"/>
    <w:rsid w:val="00F3341F"/>
    <w:rsid w:val="00F41A95"/>
    <w:rsid w:val="00F71675"/>
    <w:rsid w:val="00F75EF4"/>
    <w:rsid w:val="00F82891"/>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5901"/>
  <w15:chartTrackingRefBased/>
  <w15:docId w15:val="{3BCDEE76-89C1-4BE5-9D41-3B691900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80A"/>
    <w:rPr>
      <w:color w:val="0563C1" w:themeColor="hyperlink"/>
      <w:u w:val="single"/>
    </w:rPr>
  </w:style>
  <w:style w:type="character" w:customStyle="1" w:styleId="apple-converted-space">
    <w:name w:val="apple-converted-space"/>
    <w:basedOn w:val="DefaultParagraphFont"/>
    <w:rsid w:val="00A0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6100">
      <w:bodyDiv w:val="1"/>
      <w:marLeft w:val="0"/>
      <w:marRight w:val="0"/>
      <w:marTop w:val="0"/>
      <w:marBottom w:val="0"/>
      <w:divBdr>
        <w:top w:val="none" w:sz="0" w:space="0" w:color="auto"/>
        <w:left w:val="none" w:sz="0" w:space="0" w:color="auto"/>
        <w:bottom w:val="none" w:sz="0" w:space="0" w:color="auto"/>
        <w:right w:val="none" w:sz="0" w:space="0" w:color="auto"/>
      </w:divBdr>
    </w:div>
    <w:div w:id="1230117933">
      <w:bodyDiv w:val="1"/>
      <w:marLeft w:val="0"/>
      <w:marRight w:val="0"/>
      <w:marTop w:val="0"/>
      <w:marBottom w:val="0"/>
      <w:divBdr>
        <w:top w:val="none" w:sz="0" w:space="0" w:color="auto"/>
        <w:left w:val="none" w:sz="0" w:space="0" w:color="auto"/>
        <w:bottom w:val="none" w:sz="0" w:space="0" w:color="auto"/>
        <w:right w:val="none" w:sz="0" w:space="0" w:color="auto"/>
      </w:divBdr>
    </w:div>
    <w:div w:id="1628467948">
      <w:bodyDiv w:val="1"/>
      <w:marLeft w:val="0"/>
      <w:marRight w:val="0"/>
      <w:marTop w:val="0"/>
      <w:marBottom w:val="0"/>
      <w:divBdr>
        <w:top w:val="none" w:sz="0" w:space="0" w:color="auto"/>
        <w:left w:val="none" w:sz="0" w:space="0" w:color="auto"/>
        <w:bottom w:val="none" w:sz="0" w:space="0" w:color="auto"/>
        <w:right w:val="none" w:sz="0" w:space="0" w:color="auto"/>
      </w:divBdr>
      <w:divsChild>
        <w:div w:id="558126268">
          <w:marLeft w:val="0"/>
          <w:marRight w:val="0"/>
          <w:marTop w:val="0"/>
          <w:marBottom w:val="0"/>
          <w:divBdr>
            <w:top w:val="none" w:sz="0" w:space="0" w:color="auto"/>
            <w:left w:val="none" w:sz="0" w:space="0" w:color="auto"/>
            <w:bottom w:val="none" w:sz="0" w:space="0" w:color="auto"/>
            <w:right w:val="none" w:sz="0" w:space="0" w:color="auto"/>
          </w:divBdr>
          <w:divsChild>
            <w:div w:id="5239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4529">
      <w:bodyDiv w:val="1"/>
      <w:marLeft w:val="0"/>
      <w:marRight w:val="0"/>
      <w:marTop w:val="0"/>
      <w:marBottom w:val="0"/>
      <w:divBdr>
        <w:top w:val="none" w:sz="0" w:space="0" w:color="auto"/>
        <w:left w:val="none" w:sz="0" w:space="0" w:color="auto"/>
        <w:bottom w:val="none" w:sz="0" w:space="0" w:color="auto"/>
        <w:right w:val="none" w:sz="0" w:space="0" w:color="auto"/>
      </w:divBdr>
      <w:divsChild>
        <w:div w:id="1155146768">
          <w:marLeft w:val="0"/>
          <w:marRight w:val="0"/>
          <w:marTop w:val="0"/>
          <w:marBottom w:val="0"/>
          <w:divBdr>
            <w:top w:val="none" w:sz="0" w:space="0" w:color="auto"/>
            <w:left w:val="none" w:sz="0" w:space="0" w:color="auto"/>
            <w:bottom w:val="none" w:sz="0" w:space="0" w:color="auto"/>
            <w:right w:val="none" w:sz="0" w:space="0" w:color="auto"/>
          </w:divBdr>
          <w:divsChild>
            <w:div w:id="1106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2083</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 Cunningham</dc:creator>
  <cp:keywords/>
  <dc:description/>
  <cp:lastModifiedBy>Angela R Cunningham</cp:lastModifiedBy>
  <cp:revision>15</cp:revision>
  <dcterms:created xsi:type="dcterms:W3CDTF">2017-07-11T16:45:00Z</dcterms:created>
  <dcterms:modified xsi:type="dcterms:W3CDTF">2017-08-15T17:33:00Z</dcterms:modified>
</cp:coreProperties>
</file>