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7A2" w:rsidRPr="005146F5" w:rsidRDefault="00A077A2" w:rsidP="00A25709">
      <w:pPr>
        <w:spacing w:after="0" w:line="150" w:lineRule="exact"/>
        <w:rPr>
          <w:rFonts w:ascii="Times New Roman" w:hAnsi="Times New Roman" w:cs="Times New Roman"/>
          <w:sz w:val="15"/>
          <w:szCs w:val="15"/>
        </w:rPr>
      </w:pPr>
    </w:p>
    <w:p w:rsidR="00A077A2" w:rsidRPr="005146F5" w:rsidRDefault="00A077A2" w:rsidP="00A25709">
      <w:pPr>
        <w:spacing w:after="0" w:line="200" w:lineRule="exact"/>
        <w:rPr>
          <w:rFonts w:ascii="Times New Roman" w:hAnsi="Times New Roman" w:cs="Times New Roman"/>
          <w:sz w:val="20"/>
          <w:szCs w:val="20"/>
        </w:rPr>
      </w:pPr>
    </w:p>
    <w:p w:rsidR="00A077A2" w:rsidRPr="005146F5" w:rsidRDefault="00A077A2" w:rsidP="00A25709">
      <w:pPr>
        <w:spacing w:after="0" w:line="200" w:lineRule="exact"/>
        <w:rPr>
          <w:rFonts w:ascii="Times New Roman" w:hAnsi="Times New Roman" w:cs="Times New Roman"/>
          <w:sz w:val="20"/>
          <w:szCs w:val="20"/>
        </w:rPr>
      </w:pPr>
    </w:p>
    <w:p w:rsidR="00A077A2" w:rsidRPr="005146F5" w:rsidRDefault="002223ED" w:rsidP="00A25709">
      <w:pPr>
        <w:spacing w:after="0" w:line="200" w:lineRule="exact"/>
        <w:rPr>
          <w:rFonts w:ascii="Times New Roman" w:hAnsi="Times New Roman" w:cs="Times New Roman"/>
          <w:sz w:val="20"/>
          <w:szCs w:val="20"/>
        </w:rPr>
      </w:pPr>
      <w:r>
        <w:rPr>
          <w:rFonts w:ascii="Times New Roman" w:hAnsi="Times New Roman" w:cs="Times New Roman"/>
          <w:noProof/>
          <w:sz w:val="20"/>
          <w:szCs w:val="20"/>
          <w:lang w:val="en-GB" w:eastAsia="en-GB"/>
        </w:rPr>
        <w:drawing>
          <wp:anchor distT="0" distB="0" distL="114300" distR="114300" simplePos="0" relativeHeight="251661312" behindDoc="0" locked="0" layoutInCell="1" allowOverlap="1">
            <wp:simplePos x="0" y="0"/>
            <wp:positionH relativeFrom="column">
              <wp:posOffset>3487420</wp:posOffset>
            </wp:positionH>
            <wp:positionV relativeFrom="paragraph">
              <wp:posOffset>121285</wp:posOffset>
            </wp:positionV>
            <wp:extent cx="2177415" cy="1168400"/>
            <wp:effectExtent l="19050" t="0" r="0" b="0"/>
            <wp:wrapSquare wrapText="bothSides"/>
            <wp:docPr id="7" name="Picture 4" descr="http://www.essedra.com/media/European-Com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ssedra.com/media/European-Commission.jpg"/>
                    <pic:cNvPicPr>
                      <a:picLocks noChangeAspect="1" noChangeArrowheads="1"/>
                    </pic:cNvPicPr>
                  </pic:nvPicPr>
                  <pic:blipFill>
                    <a:blip r:embed="rId8" cstate="print"/>
                    <a:srcRect/>
                    <a:stretch>
                      <a:fillRect/>
                    </a:stretch>
                  </pic:blipFill>
                  <pic:spPr bwMode="auto">
                    <a:xfrm>
                      <a:off x="0" y="0"/>
                      <a:ext cx="2177415" cy="1168400"/>
                    </a:xfrm>
                    <a:prstGeom prst="rect">
                      <a:avLst/>
                    </a:prstGeom>
                    <a:noFill/>
                    <a:ln w="9525">
                      <a:noFill/>
                      <a:miter lim="800000"/>
                      <a:headEnd/>
                      <a:tailEnd/>
                    </a:ln>
                  </pic:spPr>
                </pic:pic>
              </a:graphicData>
            </a:graphic>
          </wp:anchor>
        </w:drawing>
      </w:r>
    </w:p>
    <w:p w:rsidR="00C538A3" w:rsidRDefault="002223ED" w:rsidP="00A25709">
      <w:pPr>
        <w:spacing w:before="29"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val="en-GB" w:eastAsia="en-GB"/>
        </w:rPr>
        <w:drawing>
          <wp:anchor distT="0" distB="0" distL="114300" distR="114300" simplePos="0" relativeHeight="251664384" behindDoc="0" locked="0" layoutInCell="1" allowOverlap="1">
            <wp:simplePos x="0" y="0"/>
            <wp:positionH relativeFrom="column">
              <wp:posOffset>349250</wp:posOffset>
            </wp:positionH>
            <wp:positionV relativeFrom="paragraph">
              <wp:posOffset>145415</wp:posOffset>
            </wp:positionV>
            <wp:extent cx="1906270" cy="905510"/>
            <wp:effectExtent l="19050" t="0" r="0" b="0"/>
            <wp:wrapTight wrapText="bothSides">
              <wp:wrapPolygon edited="0">
                <wp:start x="3238" y="2272"/>
                <wp:lineTo x="1727" y="3181"/>
                <wp:lineTo x="-216" y="7271"/>
                <wp:lineTo x="-216" y="14541"/>
                <wp:lineTo x="3238" y="16813"/>
                <wp:lineTo x="10793" y="16813"/>
                <wp:lineTo x="432" y="17722"/>
                <wp:lineTo x="432" y="19994"/>
                <wp:lineTo x="6476" y="19994"/>
                <wp:lineTo x="10793" y="16813"/>
                <wp:lineTo x="12951" y="16813"/>
                <wp:lineTo x="19643" y="11360"/>
                <wp:lineTo x="20075" y="6362"/>
                <wp:lineTo x="17268" y="4999"/>
                <wp:lineTo x="4101" y="2272"/>
                <wp:lineTo x="3238" y="2272"/>
              </wp:wrapPolygon>
            </wp:wrapTight>
            <wp:docPr id="4" name="Picture 1" descr="R:\RSA\Conferences\RSA Supported\2015\Latvia\EU2015.lv_ENG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SA\Conferences\RSA Supported\2015\Latvia\EU2015.lv_ENG_CMYK.png"/>
                    <pic:cNvPicPr>
                      <a:picLocks noChangeAspect="1" noChangeArrowheads="1"/>
                    </pic:cNvPicPr>
                  </pic:nvPicPr>
                  <pic:blipFill>
                    <a:blip r:embed="rId9" cstate="print"/>
                    <a:srcRect/>
                    <a:stretch>
                      <a:fillRect/>
                    </a:stretch>
                  </pic:blipFill>
                  <pic:spPr bwMode="auto">
                    <a:xfrm>
                      <a:off x="0" y="0"/>
                      <a:ext cx="1906270" cy="90551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sz w:val="24"/>
          <w:szCs w:val="24"/>
          <w:lang w:val="en-GB" w:eastAsia="en-GB"/>
        </w:rPr>
        <w:drawing>
          <wp:anchor distT="0" distB="0" distL="114300" distR="114300" simplePos="0" relativeHeight="251663360" behindDoc="0" locked="0" layoutInCell="1" allowOverlap="1">
            <wp:simplePos x="0" y="0"/>
            <wp:positionH relativeFrom="column">
              <wp:posOffset>2464435</wp:posOffset>
            </wp:positionH>
            <wp:positionV relativeFrom="paragraph">
              <wp:posOffset>185420</wp:posOffset>
            </wp:positionV>
            <wp:extent cx="807720" cy="810895"/>
            <wp:effectExtent l="19050" t="0" r="0" b="0"/>
            <wp:wrapSquare wrapText="bothSides"/>
            <wp:docPr id="8" name="Picture 7" descr="R:\RSA\Logos\2014 RSA Logo\RSA Logos\RSA 2 Part Logo\RSA part square logo large - screen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SA\Logos\2014 RSA Logo\RSA Logos\RSA 2 Part Logo\RSA part square logo large - screen use.jpg"/>
                    <pic:cNvPicPr>
                      <a:picLocks noChangeAspect="1" noChangeArrowheads="1"/>
                    </pic:cNvPicPr>
                  </pic:nvPicPr>
                  <pic:blipFill>
                    <a:blip r:embed="rId10" cstate="print"/>
                    <a:srcRect/>
                    <a:stretch>
                      <a:fillRect/>
                    </a:stretch>
                  </pic:blipFill>
                  <pic:spPr bwMode="auto">
                    <a:xfrm>
                      <a:off x="0" y="0"/>
                      <a:ext cx="807720" cy="810895"/>
                    </a:xfrm>
                    <a:prstGeom prst="rect">
                      <a:avLst/>
                    </a:prstGeom>
                    <a:noFill/>
                    <a:ln w="9525">
                      <a:noFill/>
                      <a:miter lim="800000"/>
                      <a:headEnd/>
                      <a:tailEnd/>
                    </a:ln>
                  </pic:spPr>
                </pic:pic>
              </a:graphicData>
            </a:graphic>
          </wp:anchor>
        </w:drawing>
      </w:r>
    </w:p>
    <w:p w:rsidR="00C538A3" w:rsidRDefault="00C538A3" w:rsidP="00A25709">
      <w:pPr>
        <w:spacing w:before="29" w:after="0" w:line="240" w:lineRule="auto"/>
        <w:jc w:val="center"/>
        <w:rPr>
          <w:rFonts w:ascii="Times New Roman" w:eastAsia="Times New Roman" w:hAnsi="Times New Roman" w:cs="Times New Roman"/>
          <w:b/>
          <w:bCs/>
          <w:sz w:val="24"/>
          <w:szCs w:val="24"/>
        </w:rPr>
      </w:pPr>
    </w:p>
    <w:p w:rsidR="00C538A3" w:rsidRDefault="00C538A3" w:rsidP="00A25709">
      <w:pPr>
        <w:spacing w:before="29" w:after="0" w:line="240" w:lineRule="auto"/>
        <w:jc w:val="center"/>
        <w:rPr>
          <w:rFonts w:ascii="Times New Roman" w:eastAsia="Times New Roman" w:hAnsi="Times New Roman" w:cs="Times New Roman"/>
          <w:b/>
          <w:bCs/>
          <w:sz w:val="24"/>
          <w:szCs w:val="24"/>
        </w:rPr>
      </w:pPr>
    </w:p>
    <w:p w:rsidR="00C538A3" w:rsidRDefault="00C538A3" w:rsidP="00A25709">
      <w:pPr>
        <w:spacing w:before="29" w:after="0" w:line="240" w:lineRule="auto"/>
        <w:jc w:val="center"/>
        <w:rPr>
          <w:rFonts w:ascii="Times New Roman" w:eastAsia="Times New Roman" w:hAnsi="Times New Roman" w:cs="Times New Roman"/>
          <w:b/>
          <w:bCs/>
          <w:sz w:val="24"/>
          <w:szCs w:val="24"/>
        </w:rPr>
      </w:pPr>
    </w:p>
    <w:p w:rsidR="003C067D" w:rsidRDefault="003C067D" w:rsidP="00A25709">
      <w:pPr>
        <w:tabs>
          <w:tab w:val="left" w:pos="10040"/>
        </w:tabs>
        <w:spacing w:before="29" w:after="0" w:line="240" w:lineRule="auto"/>
        <w:jc w:val="center"/>
        <w:rPr>
          <w:rFonts w:eastAsia="Times New Roman" w:cs="Times New Roman"/>
          <w:b/>
          <w:sz w:val="44"/>
          <w:szCs w:val="44"/>
        </w:rPr>
      </w:pPr>
    </w:p>
    <w:p w:rsidR="00C538A3" w:rsidRDefault="00C538A3" w:rsidP="00A25709">
      <w:pPr>
        <w:tabs>
          <w:tab w:val="left" w:pos="9498"/>
        </w:tabs>
        <w:spacing w:before="29" w:after="0" w:line="240" w:lineRule="auto"/>
        <w:rPr>
          <w:rFonts w:ascii="Times New Roman" w:eastAsia="Times New Roman" w:hAnsi="Times New Roman" w:cs="Times New Roman"/>
          <w:b/>
          <w:bCs/>
          <w:sz w:val="24"/>
          <w:szCs w:val="24"/>
        </w:rPr>
      </w:pPr>
    </w:p>
    <w:p w:rsidR="00A077A2" w:rsidRPr="003C067D" w:rsidRDefault="00A077A2" w:rsidP="00A25709">
      <w:pPr>
        <w:spacing w:after="0" w:line="200" w:lineRule="exact"/>
        <w:rPr>
          <w:rFonts w:cs="Times New Roman"/>
          <w:sz w:val="20"/>
          <w:szCs w:val="20"/>
        </w:rPr>
      </w:pPr>
    </w:p>
    <w:p w:rsidR="00A077A2" w:rsidRPr="003C067D" w:rsidRDefault="00A077A2" w:rsidP="00A25709">
      <w:pPr>
        <w:spacing w:after="0" w:line="200" w:lineRule="exact"/>
        <w:rPr>
          <w:rFonts w:cs="Times New Roman"/>
          <w:sz w:val="20"/>
          <w:szCs w:val="20"/>
        </w:rPr>
      </w:pPr>
    </w:p>
    <w:p w:rsidR="00A077A2" w:rsidRPr="003C067D" w:rsidRDefault="00A077A2" w:rsidP="00A25709">
      <w:pPr>
        <w:spacing w:after="0" w:line="200" w:lineRule="exact"/>
        <w:rPr>
          <w:rFonts w:cs="Times New Roman"/>
          <w:sz w:val="20"/>
          <w:szCs w:val="20"/>
        </w:rPr>
      </w:pPr>
    </w:p>
    <w:p w:rsidR="00A077A2" w:rsidRPr="003C067D" w:rsidRDefault="003C067D" w:rsidP="00A25709">
      <w:pPr>
        <w:tabs>
          <w:tab w:val="left" w:pos="8080"/>
        </w:tabs>
        <w:spacing w:after="0" w:line="271" w:lineRule="exact"/>
        <w:ind w:hanging="210"/>
        <w:jc w:val="center"/>
        <w:rPr>
          <w:rFonts w:eastAsia="Times New Roman" w:cs="Times New Roman"/>
          <w:b/>
          <w:bCs/>
          <w:position w:val="-1"/>
          <w:sz w:val="28"/>
          <w:szCs w:val="28"/>
        </w:rPr>
      </w:pPr>
      <w:r w:rsidRPr="003C067D">
        <w:rPr>
          <w:rFonts w:eastAsia="Times New Roman" w:cs="Times New Roman"/>
          <w:b/>
          <w:bCs/>
          <w:position w:val="-1"/>
          <w:sz w:val="28"/>
          <w:szCs w:val="28"/>
        </w:rPr>
        <w:t xml:space="preserve"> </w:t>
      </w:r>
      <w:r w:rsidR="00921889" w:rsidRPr="003C067D">
        <w:rPr>
          <w:rFonts w:eastAsia="Times New Roman" w:cs="Times New Roman"/>
          <w:b/>
          <w:bCs/>
          <w:position w:val="-1"/>
          <w:sz w:val="28"/>
          <w:szCs w:val="28"/>
        </w:rPr>
        <w:t>CALL FOR PAPERS</w:t>
      </w:r>
    </w:p>
    <w:p w:rsidR="00B866C0" w:rsidRPr="003C067D" w:rsidRDefault="00B866C0" w:rsidP="00A25709">
      <w:pPr>
        <w:tabs>
          <w:tab w:val="left" w:pos="8080"/>
        </w:tabs>
        <w:spacing w:after="0" w:line="271" w:lineRule="exact"/>
        <w:ind w:hanging="210"/>
        <w:jc w:val="center"/>
        <w:rPr>
          <w:rFonts w:eastAsia="Times New Roman" w:cs="Times New Roman"/>
          <w:sz w:val="28"/>
          <w:szCs w:val="28"/>
        </w:rPr>
      </w:pPr>
    </w:p>
    <w:p w:rsidR="003C067D" w:rsidRDefault="000325DC" w:rsidP="00A25709">
      <w:pPr>
        <w:spacing w:before="29" w:after="0" w:line="240" w:lineRule="auto"/>
        <w:jc w:val="center"/>
        <w:rPr>
          <w:rFonts w:eastAsia="Times New Roman" w:cs="Times New Roman"/>
          <w:b/>
          <w:sz w:val="28"/>
          <w:szCs w:val="28"/>
        </w:rPr>
      </w:pPr>
      <w:r w:rsidRPr="003C067D">
        <w:rPr>
          <w:rFonts w:eastAsia="Times New Roman" w:cs="Times New Roman"/>
          <w:b/>
          <w:sz w:val="28"/>
          <w:szCs w:val="28"/>
        </w:rPr>
        <w:t>CHALLENGES FOR THE NEW COHESION POLICY IN 2014-</w:t>
      </w:r>
      <w:r w:rsidR="002223ED">
        <w:rPr>
          <w:rFonts w:eastAsia="Times New Roman" w:cs="Times New Roman"/>
          <w:b/>
          <w:sz w:val="28"/>
          <w:szCs w:val="28"/>
        </w:rPr>
        <w:t>20</w:t>
      </w:r>
      <w:r w:rsidRPr="003C067D">
        <w:rPr>
          <w:rFonts w:eastAsia="Times New Roman" w:cs="Times New Roman"/>
          <w:b/>
          <w:sz w:val="28"/>
          <w:szCs w:val="28"/>
        </w:rPr>
        <w:t xml:space="preserve">20:        </w:t>
      </w:r>
    </w:p>
    <w:p w:rsidR="000F40EC" w:rsidRDefault="000325DC" w:rsidP="000F40EC">
      <w:pPr>
        <w:spacing w:before="29" w:after="0" w:line="240" w:lineRule="auto"/>
        <w:jc w:val="center"/>
        <w:rPr>
          <w:rFonts w:eastAsia="Times New Roman" w:cs="Times New Roman"/>
          <w:b/>
          <w:bCs/>
          <w:sz w:val="24"/>
          <w:szCs w:val="24"/>
        </w:rPr>
      </w:pPr>
      <w:r w:rsidRPr="003C067D">
        <w:rPr>
          <w:rFonts w:eastAsia="Times New Roman" w:cs="Times New Roman"/>
          <w:b/>
          <w:sz w:val="28"/>
          <w:szCs w:val="28"/>
        </w:rPr>
        <w:t>AN ACADEMIC AND POLICY DEBATE</w:t>
      </w:r>
      <w:r w:rsidR="000F40EC" w:rsidRPr="000F40EC">
        <w:rPr>
          <w:rFonts w:eastAsia="Times New Roman" w:cs="Times New Roman"/>
          <w:b/>
          <w:bCs/>
          <w:sz w:val="24"/>
          <w:szCs w:val="24"/>
        </w:rPr>
        <w:t xml:space="preserve"> </w:t>
      </w:r>
    </w:p>
    <w:p w:rsidR="000F40EC" w:rsidRDefault="000F40EC" w:rsidP="000F40EC">
      <w:pPr>
        <w:spacing w:before="29" w:after="0" w:line="240" w:lineRule="auto"/>
        <w:jc w:val="center"/>
        <w:rPr>
          <w:rFonts w:eastAsia="Times New Roman" w:cs="Times New Roman"/>
          <w:b/>
          <w:bCs/>
          <w:sz w:val="24"/>
          <w:szCs w:val="24"/>
        </w:rPr>
      </w:pPr>
    </w:p>
    <w:p w:rsidR="000F40EC" w:rsidRPr="003C067D" w:rsidRDefault="000F40EC" w:rsidP="000F40EC">
      <w:pPr>
        <w:spacing w:before="29" w:after="0" w:line="240" w:lineRule="auto"/>
        <w:jc w:val="center"/>
        <w:rPr>
          <w:rFonts w:eastAsia="Times New Roman" w:cs="Times New Roman"/>
          <w:b/>
          <w:bCs/>
          <w:sz w:val="24"/>
          <w:szCs w:val="24"/>
        </w:rPr>
      </w:pPr>
      <w:r w:rsidRPr="003C067D">
        <w:rPr>
          <w:rFonts w:eastAsia="Times New Roman" w:cs="Times New Roman"/>
          <w:b/>
          <w:bCs/>
          <w:sz w:val="24"/>
          <w:szCs w:val="24"/>
        </w:rPr>
        <w:t>SECOND EU COHESION POLICY CONFER</w:t>
      </w:r>
      <w:r w:rsidRPr="003C067D">
        <w:rPr>
          <w:rFonts w:eastAsia="Times New Roman" w:cs="Times New Roman"/>
          <w:b/>
          <w:bCs/>
          <w:spacing w:val="1"/>
          <w:sz w:val="24"/>
          <w:szCs w:val="24"/>
        </w:rPr>
        <w:t>E</w:t>
      </w:r>
      <w:r w:rsidRPr="003C067D">
        <w:rPr>
          <w:rFonts w:eastAsia="Times New Roman" w:cs="Times New Roman"/>
          <w:b/>
          <w:bCs/>
          <w:sz w:val="24"/>
          <w:szCs w:val="24"/>
        </w:rPr>
        <w:t>NCE</w:t>
      </w:r>
    </w:p>
    <w:p w:rsidR="000F40EC" w:rsidRPr="003C067D" w:rsidRDefault="000F40EC" w:rsidP="000F40EC">
      <w:pPr>
        <w:spacing w:before="29" w:after="0" w:line="240" w:lineRule="auto"/>
        <w:jc w:val="center"/>
        <w:rPr>
          <w:rFonts w:eastAsia="Times New Roman" w:cs="Times New Roman"/>
          <w:b/>
          <w:bCs/>
          <w:sz w:val="24"/>
          <w:szCs w:val="24"/>
        </w:rPr>
      </w:pPr>
      <w:r w:rsidRPr="003C067D">
        <w:rPr>
          <w:rFonts w:eastAsia="Times New Roman" w:cs="Times New Roman"/>
          <w:b/>
          <w:bCs/>
          <w:sz w:val="24"/>
          <w:szCs w:val="24"/>
        </w:rPr>
        <w:t xml:space="preserve">RIGA, LATVIA               </w:t>
      </w:r>
    </w:p>
    <w:p w:rsidR="000F40EC" w:rsidRPr="003C067D" w:rsidRDefault="000F40EC" w:rsidP="000F40EC">
      <w:pPr>
        <w:spacing w:before="29" w:after="0" w:line="240" w:lineRule="auto"/>
        <w:jc w:val="center"/>
        <w:rPr>
          <w:rFonts w:eastAsia="Times New Roman" w:cs="Times New Roman"/>
          <w:sz w:val="24"/>
          <w:szCs w:val="24"/>
        </w:rPr>
      </w:pPr>
      <w:r w:rsidRPr="003C067D">
        <w:rPr>
          <w:rFonts w:eastAsia="Times New Roman" w:cs="Times New Roman"/>
          <w:b/>
          <w:bCs/>
          <w:sz w:val="24"/>
          <w:szCs w:val="24"/>
        </w:rPr>
        <w:t>4</w:t>
      </w:r>
      <w:r w:rsidRPr="002223ED">
        <w:rPr>
          <w:rFonts w:eastAsia="Times New Roman" w:cs="Times New Roman"/>
          <w:b/>
          <w:bCs/>
          <w:sz w:val="24"/>
          <w:szCs w:val="24"/>
          <w:vertAlign w:val="superscript"/>
        </w:rPr>
        <w:t>th</w:t>
      </w:r>
      <w:r>
        <w:rPr>
          <w:rFonts w:eastAsia="Times New Roman" w:cs="Times New Roman"/>
          <w:b/>
          <w:bCs/>
          <w:sz w:val="24"/>
          <w:szCs w:val="24"/>
        </w:rPr>
        <w:t xml:space="preserve"> </w:t>
      </w:r>
      <w:r w:rsidRPr="003C067D">
        <w:rPr>
          <w:rFonts w:eastAsia="Times New Roman" w:cs="Times New Roman"/>
          <w:b/>
          <w:bCs/>
          <w:sz w:val="24"/>
          <w:szCs w:val="24"/>
        </w:rPr>
        <w:t>-6</w:t>
      </w:r>
      <w:r w:rsidRPr="002223ED">
        <w:rPr>
          <w:rFonts w:eastAsia="Times New Roman" w:cs="Times New Roman"/>
          <w:b/>
          <w:bCs/>
          <w:sz w:val="24"/>
          <w:szCs w:val="24"/>
          <w:vertAlign w:val="superscript"/>
        </w:rPr>
        <w:t>th</w:t>
      </w:r>
      <w:r>
        <w:rPr>
          <w:rFonts w:eastAsia="Times New Roman" w:cs="Times New Roman"/>
          <w:b/>
          <w:bCs/>
          <w:sz w:val="24"/>
          <w:szCs w:val="24"/>
        </w:rPr>
        <w:t xml:space="preserve"> </w:t>
      </w:r>
      <w:r w:rsidRPr="003C067D">
        <w:rPr>
          <w:rFonts w:eastAsia="Times New Roman" w:cs="Times New Roman"/>
          <w:b/>
          <w:bCs/>
          <w:sz w:val="24"/>
          <w:szCs w:val="24"/>
        </w:rPr>
        <w:t>FEBRUARY 2015</w:t>
      </w:r>
    </w:p>
    <w:p w:rsidR="004403A6" w:rsidRPr="003C067D" w:rsidRDefault="004403A6" w:rsidP="00A25709">
      <w:pPr>
        <w:spacing w:before="29" w:after="0" w:line="240" w:lineRule="auto"/>
        <w:jc w:val="center"/>
        <w:rPr>
          <w:rFonts w:eastAsia="Times New Roman" w:cs="Times New Roman"/>
          <w:b/>
          <w:sz w:val="28"/>
          <w:szCs w:val="28"/>
        </w:rPr>
      </w:pPr>
    </w:p>
    <w:p w:rsidR="00921889" w:rsidRDefault="00921889" w:rsidP="00A25709">
      <w:pPr>
        <w:spacing w:before="29" w:after="0" w:line="240" w:lineRule="auto"/>
        <w:jc w:val="center"/>
        <w:rPr>
          <w:rFonts w:ascii="Times New Roman" w:eastAsia="Times New Roman" w:hAnsi="Times New Roman" w:cs="Times New Roman"/>
          <w:sz w:val="24"/>
          <w:szCs w:val="24"/>
        </w:rPr>
      </w:pPr>
    </w:p>
    <w:p w:rsidR="00F20E49" w:rsidRPr="003C067D" w:rsidRDefault="000325DC" w:rsidP="00A25709">
      <w:pPr>
        <w:spacing w:before="29" w:after="0" w:line="240" w:lineRule="auto"/>
        <w:jc w:val="both"/>
        <w:rPr>
          <w:rFonts w:eastAsia="Times New Roman" w:cs="Times New Roman"/>
          <w:sz w:val="24"/>
          <w:szCs w:val="24"/>
        </w:rPr>
      </w:pPr>
      <w:r w:rsidRPr="003C067D">
        <w:rPr>
          <w:rFonts w:eastAsia="Times New Roman" w:cs="Times New Roman"/>
          <w:sz w:val="24"/>
          <w:szCs w:val="24"/>
        </w:rPr>
        <w:t xml:space="preserve">In 2013, the budgetary and regulatory reform of Cohesion policy for 2014-20 was finally agreed following the most extensive process of reflection, consultation and analysis in the history of the policy. The cornerstones of the reformed policy are a more strategic use of the renamed European Structural and Investment Funds (ESIF), </w:t>
      </w:r>
      <w:r w:rsidR="00F20E49" w:rsidRPr="003C067D">
        <w:rPr>
          <w:rFonts w:eastAsia="Times New Roman" w:cs="Times New Roman"/>
          <w:sz w:val="24"/>
          <w:szCs w:val="24"/>
        </w:rPr>
        <w:t>concentration of</w:t>
      </w:r>
      <w:r w:rsidRPr="003C067D">
        <w:rPr>
          <w:rFonts w:eastAsia="Times New Roman" w:cs="Times New Roman"/>
          <w:sz w:val="24"/>
          <w:szCs w:val="24"/>
        </w:rPr>
        <w:t xml:space="preserve"> spending on the objectives of Europe 2020, improved performance and achievement of results, better governance, and more attention to urban and local development. However, as the recently published Sixth Cohesion Report makes clear, the new </w:t>
      </w:r>
      <w:r w:rsidR="00F20E49" w:rsidRPr="003C067D">
        <w:rPr>
          <w:rFonts w:eastAsia="Times New Roman" w:cs="Times New Roman"/>
          <w:sz w:val="24"/>
          <w:szCs w:val="24"/>
        </w:rPr>
        <w:t>ESIF programmes face</w:t>
      </w:r>
      <w:r w:rsidR="004A45C3" w:rsidRPr="003C067D">
        <w:rPr>
          <w:rFonts w:eastAsia="Times New Roman" w:cs="Times New Roman"/>
          <w:sz w:val="24"/>
          <w:szCs w:val="24"/>
        </w:rPr>
        <w:t xml:space="preserve"> a difficult task, with increasing regional and urban disparities and cuts in government spending.</w:t>
      </w:r>
      <w:r w:rsidR="00F20E49" w:rsidRPr="003C067D">
        <w:rPr>
          <w:rFonts w:eastAsia="Times New Roman" w:cs="Times New Roman"/>
          <w:sz w:val="24"/>
          <w:szCs w:val="24"/>
        </w:rPr>
        <w:t xml:space="preserve"> </w:t>
      </w:r>
    </w:p>
    <w:p w:rsidR="00F20E49" w:rsidRPr="003C067D" w:rsidRDefault="00F20E49" w:rsidP="00A25709">
      <w:pPr>
        <w:spacing w:before="29" w:after="0" w:line="240" w:lineRule="auto"/>
        <w:jc w:val="both"/>
        <w:rPr>
          <w:rFonts w:eastAsia="Times New Roman" w:cs="Times New Roman"/>
          <w:sz w:val="24"/>
          <w:szCs w:val="24"/>
        </w:rPr>
      </w:pPr>
    </w:p>
    <w:p w:rsidR="000325DC" w:rsidRPr="00A25709" w:rsidRDefault="00F20E49" w:rsidP="00A25709">
      <w:pPr>
        <w:spacing w:before="29" w:after="0" w:line="240" w:lineRule="auto"/>
        <w:jc w:val="both"/>
        <w:rPr>
          <w:rFonts w:eastAsia="Times New Roman" w:cs="Times New Roman"/>
          <w:sz w:val="24"/>
          <w:szCs w:val="24"/>
        </w:rPr>
      </w:pPr>
      <w:r w:rsidRPr="003C067D">
        <w:rPr>
          <w:rFonts w:eastAsia="Times New Roman" w:cs="Times New Roman"/>
          <w:sz w:val="24"/>
          <w:szCs w:val="24"/>
        </w:rPr>
        <w:t xml:space="preserve">Against this background, the Second EU Cohesion Policy Conference organised by the RSA and DG Regio, together with the </w:t>
      </w:r>
      <w:r w:rsidR="002223ED">
        <w:rPr>
          <w:rFonts w:eastAsia="Times New Roman" w:cs="Times New Roman"/>
          <w:sz w:val="24"/>
          <w:szCs w:val="24"/>
        </w:rPr>
        <w:t xml:space="preserve">Latvian </w:t>
      </w:r>
      <w:r w:rsidRPr="003C067D">
        <w:rPr>
          <w:rFonts w:eastAsia="Times New Roman" w:cs="Times New Roman"/>
          <w:sz w:val="24"/>
          <w:szCs w:val="24"/>
        </w:rPr>
        <w:t>Presidency</w:t>
      </w:r>
      <w:r w:rsidR="002223ED">
        <w:rPr>
          <w:rFonts w:eastAsia="Times New Roman" w:cs="Times New Roman"/>
          <w:sz w:val="24"/>
          <w:szCs w:val="24"/>
        </w:rPr>
        <w:t xml:space="preserve"> of the Council of the European Union</w:t>
      </w:r>
      <w:r w:rsidRPr="003C067D">
        <w:rPr>
          <w:rFonts w:eastAsia="Times New Roman" w:cs="Times New Roman"/>
          <w:sz w:val="24"/>
          <w:szCs w:val="24"/>
        </w:rPr>
        <w:t xml:space="preserve">, aims to take stock of the challenges and opportunities for Cohesion policy in 2014-20. It will bring </w:t>
      </w:r>
      <w:r w:rsidRPr="00A25709">
        <w:rPr>
          <w:rFonts w:eastAsia="Times New Roman" w:cs="Times New Roman"/>
          <w:sz w:val="24"/>
          <w:szCs w:val="24"/>
        </w:rPr>
        <w:t>together a limited number of participants from academia, the European institutions and Member State authorities to debate where Cohesion policy is going and how its contribution to growth and jobs can be maximised.</w:t>
      </w:r>
    </w:p>
    <w:p w:rsidR="00E87C8F" w:rsidRPr="00A25709" w:rsidRDefault="00E87C8F" w:rsidP="00A25709">
      <w:pPr>
        <w:spacing w:before="29" w:after="0" w:line="240" w:lineRule="auto"/>
        <w:jc w:val="both"/>
        <w:rPr>
          <w:rFonts w:eastAsia="Times New Roman" w:cs="Times New Roman"/>
          <w:sz w:val="24"/>
          <w:szCs w:val="24"/>
        </w:rPr>
      </w:pPr>
    </w:p>
    <w:p w:rsidR="00B866C0" w:rsidRPr="00A25709" w:rsidRDefault="00F20E49" w:rsidP="00A25709">
      <w:pPr>
        <w:jc w:val="both"/>
        <w:rPr>
          <w:rFonts w:cs="Times New Roman"/>
          <w:sz w:val="24"/>
          <w:szCs w:val="24"/>
        </w:rPr>
      </w:pPr>
      <w:r w:rsidRPr="00A25709">
        <w:rPr>
          <w:rFonts w:cs="Times New Roman"/>
          <w:sz w:val="24"/>
          <w:szCs w:val="24"/>
        </w:rPr>
        <w:t>Papers are invited on the following questions and themes</w:t>
      </w:r>
      <w:r w:rsidR="002748F2" w:rsidRPr="00A25709">
        <w:rPr>
          <w:rFonts w:cs="Times New Roman"/>
          <w:sz w:val="24"/>
          <w:szCs w:val="24"/>
        </w:rPr>
        <w:t xml:space="preserve"> which will form the basis for workshop sessions, panel debates and discussion groups at the Conference.</w:t>
      </w:r>
    </w:p>
    <w:p w:rsidR="00966AE9" w:rsidRPr="00A25709" w:rsidRDefault="0056165E" w:rsidP="00A25709">
      <w:pPr>
        <w:pStyle w:val="ListParagraph"/>
        <w:numPr>
          <w:ilvl w:val="0"/>
          <w:numId w:val="17"/>
        </w:numPr>
        <w:ind w:left="0"/>
        <w:rPr>
          <w:rFonts w:cs="Times New Roman"/>
          <w:b/>
          <w:sz w:val="24"/>
          <w:szCs w:val="24"/>
        </w:rPr>
      </w:pPr>
      <w:r w:rsidRPr="00A25709">
        <w:rPr>
          <w:rFonts w:cs="Times New Roman"/>
          <w:b/>
          <w:sz w:val="24"/>
          <w:szCs w:val="24"/>
        </w:rPr>
        <w:t xml:space="preserve">Economic geography and Cohesion policy: </w:t>
      </w:r>
      <w:r w:rsidR="000E1911" w:rsidRPr="00A25709">
        <w:rPr>
          <w:rFonts w:cs="Times New Roman"/>
          <w:b/>
          <w:sz w:val="24"/>
          <w:szCs w:val="24"/>
        </w:rPr>
        <w:t xml:space="preserve">how </w:t>
      </w:r>
      <w:r w:rsidR="00921889" w:rsidRPr="00A25709">
        <w:rPr>
          <w:rFonts w:cs="Times New Roman"/>
          <w:b/>
          <w:sz w:val="24"/>
          <w:szCs w:val="24"/>
        </w:rPr>
        <w:t>are the economic and social challenges for European Structural &amp; Investment Funds changing?</w:t>
      </w:r>
    </w:p>
    <w:p w:rsidR="00966AE9" w:rsidRPr="00A25709" w:rsidRDefault="00966AE9" w:rsidP="00A25709">
      <w:pPr>
        <w:pStyle w:val="ListParagraph"/>
        <w:ind w:left="0"/>
        <w:rPr>
          <w:rFonts w:cs="Times New Roman"/>
          <w:b/>
          <w:sz w:val="24"/>
          <w:szCs w:val="24"/>
        </w:rPr>
      </w:pPr>
    </w:p>
    <w:p w:rsidR="00966AE9" w:rsidRPr="00A25709" w:rsidRDefault="00921889" w:rsidP="00A25709">
      <w:pPr>
        <w:pStyle w:val="ListParagraph"/>
        <w:numPr>
          <w:ilvl w:val="0"/>
          <w:numId w:val="18"/>
        </w:numPr>
        <w:ind w:left="0"/>
        <w:rPr>
          <w:rFonts w:cs="Times New Roman"/>
          <w:b/>
          <w:sz w:val="24"/>
          <w:szCs w:val="24"/>
        </w:rPr>
      </w:pPr>
      <w:r w:rsidRPr="00A25709">
        <w:rPr>
          <w:rFonts w:cs="Times New Roman"/>
          <w:sz w:val="24"/>
          <w:szCs w:val="24"/>
        </w:rPr>
        <w:t xml:space="preserve">the </w:t>
      </w:r>
      <w:r w:rsidR="0056165E" w:rsidRPr="00A25709">
        <w:rPr>
          <w:rFonts w:cs="Times New Roman"/>
          <w:sz w:val="24"/>
          <w:szCs w:val="24"/>
        </w:rPr>
        <w:t xml:space="preserve">implications of the crisis for regional and urban disparities </w:t>
      </w:r>
      <w:r w:rsidR="00966AE9" w:rsidRPr="00A25709">
        <w:rPr>
          <w:rFonts w:cs="Times New Roman"/>
          <w:sz w:val="24"/>
          <w:szCs w:val="24"/>
        </w:rPr>
        <w:t xml:space="preserve">and convergence </w:t>
      </w:r>
      <w:r w:rsidR="0056165E" w:rsidRPr="00A25709">
        <w:rPr>
          <w:rFonts w:cs="Times New Roman"/>
          <w:sz w:val="24"/>
          <w:szCs w:val="24"/>
        </w:rPr>
        <w:t>in Europe</w:t>
      </w:r>
    </w:p>
    <w:p w:rsidR="00921889" w:rsidRPr="00A25709" w:rsidRDefault="00921889" w:rsidP="00A25709">
      <w:pPr>
        <w:pStyle w:val="ListParagraph"/>
        <w:numPr>
          <w:ilvl w:val="0"/>
          <w:numId w:val="18"/>
        </w:numPr>
        <w:ind w:left="0"/>
        <w:rPr>
          <w:rFonts w:cs="Times New Roman"/>
          <w:b/>
          <w:sz w:val="24"/>
          <w:szCs w:val="24"/>
        </w:rPr>
      </w:pPr>
      <w:r w:rsidRPr="00A25709">
        <w:rPr>
          <w:rFonts w:cs="Times New Roman"/>
          <w:sz w:val="24"/>
          <w:szCs w:val="24"/>
        </w:rPr>
        <w:t xml:space="preserve">the </w:t>
      </w:r>
      <w:r w:rsidR="002748F2" w:rsidRPr="00A25709">
        <w:rPr>
          <w:rFonts w:cs="Times New Roman"/>
          <w:sz w:val="24"/>
          <w:szCs w:val="24"/>
        </w:rPr>
        <w:t>contributions and limits</w:t>
      </w:r>
      <w:r w:rsidRPr="00A25709">
        <w:rPr>
          <w:rFonts w:cs="Times New Roman"/>
          <w:sz w:val="24"/>
          <w:szCs w:val="24"/>
        </w:rPr>
        <w:t xml:space="preserve"> of Cohesion policy in dealing with the crisis and its legacy</w:t>
      </w:r>
    </w:p>
    <w:p w:rsidR="00A96C65" w:rsidRPr="00A25709" w:rsidRDefault="0056165E" w:rsidP="00A25709">
      <w:pPr>
        <w:pStyle w:val="ListParagraph"/>
        <w:numPr>
          <w:ilvl w:val="0"/>
          <w:numId w:val="18"/>
        </w:numPr>
        <w:ind w:left="0"/>
        <w:rPr>
          <w:rFonts w:cs="Times New Roman"/>
          <w:b/>
          <w:sz w:val="24"/>
          <w:szCs w:val="24"/>
        </w:rPr>
      </w:pPr>
      <w:r w:rsidRPr="00A25709">
        <w:rPr>
          <w:rFonts w:cs="Times New Roman"/>
          <w:sz w:val="24"/>
          <w:szCs w:val="24"/>
        </w:rPr>
        <w:t xml:space="preserve">the regional dimensions of Europe 2020 </w:t>
      </w:r>
      <w:r w:rsidR="00921889" w:rsidRPr="00A25709">
        <w:rPr>
          <w:rFonts w:cs="Times New Roman"/>
          <w:sz w:val="24"/>
          <w:szCs w:val="24"/>
        </w:rPr>
        <w:t xml:space="preserve">and the </w:t>
      </w:r>
      <w:r w:rsidR="002748F2" w:rsidRPr="00A25709">
        <w:rPr>
          <w:rFonts w:cs="Times New Roman"/>
          <w:sz w:val="24"/>
          <w:szCs w:val="24"/>
        </w:rPr>
        <w:t xml:space="preserve">scope for </w:t>
      </w:r>
      <w:r w:rsidR="00921889" w:rsidRPr="00A25709">
        <w:rPr>
          <w:rFonts w:cs="Times New Roman"/>
          <w:sz w:val="24"/>
          <w:szCs w:val="24"/>
        </w:rPr>
        <w:t>the Funds to</w:t>
      </w:r>
      <w:r w:rsidRPr="00A25709">
        <w:rPr>
          <w:rFonts w:cs="Times New Roman"/>
          <w:sz w:val="24"/>
          <w:szCs w:val="24"/>
        </w:rPr>
        <w:t xml:space="preserve"> </w:t>
      </w:r>
      <w:r w:rsidR="002748F2" w:rsidRPr="00A25709">
        <w:rPr>
          <w:rFonts w:cs="Times New Roman"/>
          <w:sz w:val="24"/>
          <w:szCs w:val="24"/>
        </w:rPr>
        <w:t xml:space="preserve">promote </w:t>
      </w:r>
      <w:r w:rsidRPr="00A25709">
        <w:rPr>
          <w:rFonts w:cs="Times New Roman"/>
          <w:sz w:val="24"/>
          <w:szCs w:val="24"/>
        </w:rPr>
        <w:t>smart, sustainable and inclusive growth</w:t>
      </w:r>
    </w:p>
    <w:p w:rsidR="00776BAD" w:rsidRPr="00A25709" w:rsidRDefault="002223ED" w:rsidP="00A25709">
      <w:pPr>
        <w:pStyle w:val="ListParagraph"/>
        <w:numPr>
          <w:ilvl w:val="0"/>
          <w:numId w:val="18"/>
        </w:numPr>
        <w:ind w:left="0"/>
        <w:rPr>
          <w:rFonts w:cs="Times New Roman"/>
          <w:b/>
          <w:sz w:val="24"/>
          <w:szCs w:val="24"/>
        </w:rPr>
      </w:pPr>
      <w:r w:rsidRPr="00A25709">
        <w:rPr>
          <w:rFonts w:cs="Times New Roman"/>
          <w:sz w:val="24"/>
          <w:szCs w:val="24"/>
        </w:rPr>
        <w:t>the role of the f</w:t>
      </w:r>
      <w:r w:rsidR="00776BAD" w:rsidRPr="00A25709">
        <w:rPr>
          <w:rFonts w:cs="Times New Roman"/>
          <w:sz w:val="24"/>
          <w:szCs w:val="24"/>
        </w:rPr>
        <w:t>unds in addressing youth unemployment</w:t>
      </w:r>
    </w:p>
    <w:p w:rsidR="00A04AE8" w:rsidRPr="00A25709" w:rsidRDefault="00A04AE8" w:rsidP="00A25709">
      <w:pPr>
        <w:pStyle w:val="ListParagraph"/>
        <w:ind w:left="0"/>
        <w:rPr>
          <w:rFonts w:cs="Times New Roman"/>
          <w:b/>
          <w:sz w:val="24"/>
          <w:szCs w:val="24"/>
        </w:rPr>
      </w:pPr>
    </w:p>
    <w:p w:rsidR="00FA7721" w:rsidRPr="00A25709" w:rsidRDefault="00FA7721" w:rsidP="00A25709">
      <w:pPr>
        <w:pStyle w:val="ListParagraph"/>
        <w:ind w:left="0"/>
        <w:rPr>
          <w:rFonts w:cs="Times New Roman"/>
          <w:b/>
          <w:sz w:val="24"/>
          <w:szCs w:val="24"/>
        </w:rPr>
      </w:pPr>
    </w:p>
    <w:p w:rsidR="002223ED" w:rsidRPr="00A25709" w:rsidRDefault="002223ED" w:rsidP="00A25709">
      <w:pPr>
        <w:pStyle w:val="ListParagraph"/>
        <w:ind w:left="0"/>
        <w:rPr>
          <w:rFonts w:cs="Times New Roman"/>
          <w:b/>
          <w:sz w:val="24"/>
          <w:szCs w:val="24"/>
        </w:rPr>
      </w:pPr>
    </w:p>
    <w:p w:rsidR="00921889" w:rsidRPr="00A25709" w:rsidRDefault="00A04AE8" w:rsidP="00A25709">
      <w:pPr>
        <w:pStyle w:val="ListParagraph"/>
        <w:numPr>
          <w:ilvl w:val="0"/>
          <w:numId w:val="17"/>
        </w:numPr>
        <w:tabs>
          <w:tab w:val="left" w:pos="9072"/>
        </w:tabs>
        <w:ind w:left="0"/>
        <w:rPr>
          <w:rFonts w:cs="Times New Roman"/>
          <w:b/>
          <w:sz w:val="24"/>
          <w:szCs w:val="24"/>
        </w:rPr>
      </w:pPr>
      <w:r w:rsidRPr="00A25709">
        <w:rPr>
          <w:rFonts w:cs="Times New Roman"/>
          <w:b/>
          <w:sz w:val="24"/>
          <w:szCs w:val="24"/>
        </w:rPr>
        <w:t>I</w:t>
      </w:r>
      <w:r w:rsidR="0056165E" w:rsidRPr="00A25709">
        <w:rPr>
          <w:rFonts w:cs="Times New Roman"/>
          <w:b/>
          <w:sz w:val="24"/>
          <w:szCs w:val="24"/>
        </w:rPr>
        <w:t xml:space="preserve">nstitutions and governance: </w:t>
      </w:r>
      <w:r w:rsidR="002748F2" w:rsidRPr="00A25709">
        <w:rPr>
          <w:rFonts w:cs="Times New Roman"/>
          <w:b/>
          <w:sz w:val="24"/>
          <w:szCs w:val="24"/>
        </w:rPr>
        <w:t>what can Cohesion policy do to strengthen public administration and effective management of the Funds?</w:t>
      </w:r>
    </w:p>
    <w:p w:rsidR="00921889" w:rsidRPr="00A25709" w:rsidRDefault="00921889" w:rsidP="00A25709">
      <w:pPr>
        <w:pStyle w:val="ListParagraph"/>
        <w:tabs>
          <w:tab w:val="left" w:pos="9072"/>
        </w:tabs>
        <w:ind w:left="0"/>
        <w:rPr>
          <w:rFonts w:cs="Times New Roman"/>
          <w:b/>
          <w:sz w:val="24"/>
          <w:szCs w:val="24"/>
        </w:rPr>
      </w:pPr>
    </w:p>
    <w:p w:rsidR="00921889" w:rsidRPr="00A25709" w:rsidRDefault="00FF7F71" w:rsidP="00A25709">
      <w:pPr>
        <w:pStyle w:val="ListParagraph"/>
        <w:numPr>
          <w:ilvl w:val="0"/>
          <w:numId w:val="21"/>
        </w:numPr>
        <w:tabs>
          <w:tab w:val="left" w:pos="9072"/>
        </w:tabs>
        <w:ind w:left="0"/>
        <w:rPr>
          <w:rFonts w:cs="Times New Roman"/>
          <w:sz w:val="24"/>
          <w:szCs w:val="24"/>
        </w:rPr>
      </w:pPr>
      <w:r w:rsidRPr="00A25709">
        <w:rPr>
          <w:rFonts w:cs="Times New Roman"/>
          <w:sz w:val="24"/>
          <w:szCs w:val="24"/>
        </w:rPr>
        <w:t>administrative reform, capacity-building and Cohesion policy</w:t>
      </w:r>
      <w:r w:rsidR="0056165E" w:rsidRPr="00A25709">
        <w:rPr>
          <w:rFonts w:cs="Times New Roman"/>
          <w:sz w:val="24"/>
          <w:szCs w:val="24"/>
        </w:rPr>
        <w:t xml:space="preserve"> </w:t>
      </w:r>
    </w:p>
    <w:p w:rsidR="00921889" w:rsidRPr="00A25709" w:rsidRDefault="00FF7F71" w:rsidP="00A25709">
      <w:pPr>
        <w:pStyle w:val="ListParagraph"/>
        <w:numPr>
          <w:ilvl w:val="0"/>
          <w:numId w:val="21"/>
        </w:numPr>
        <w:tabs>
          <w:tab w:val="left" w:pos="9072"/>
        </w:tabs>
        <w:ind w:left="0"/>
        <w:rPr>
          <w:rFonts w:cs="Times New Roman"/>
          <w:sz w:val="24"/>
          <w:szCs w:val="24"/>
        </w:rPr>
      </w:pPr>
      <w:r w:rsidRPr="00A25709">
        <w:rPr>
          <w:rFonts w:cs="Times New Roman"/>
          <w:sz w:val="24"/>
          <w:szCs w:val="24"/>
        </w:rPr>
        <w:t>strategic management and delivery of Cohesion policy programmes</w:t>
      </w:r>
    </w:p>
    <w:p w:rsidR="00776BAD" w:rsidRPr="00A25709" w:rsidRDefault="00776BAD" w:rsidP="00A25709">
      <w:pPr>
        <w:pStyle w:val="ListParagraph"/>
        <w:numPr>
          <w:ilvl w:val="0"/>
          <w:numId w:val="21"/>
        </w:numPr>
        <w:tabs>
          <w:tab w:val="left" w:pos="9072"/>
        </w:tabs>
        <w:ind w:left="0"/>
        <w:rPr>
          <w:rFonts w:cs="Times New Roman"/>
          <w:sz w:val="24"/>
          <w:szCs w:val="24"/>
        </w:rPr>
      </w:pPr>
      <w:r w:rsidRPr="00A25709">
        <w:rPr>
          <w:rFonts w:cs="Times New Roman"/>
          <w:sz w:val="24"/>
          <w:szCs w:val="24"/>
        </w:rPr>
        <w:t>integration of Funds and policy outcomes</w:t>
      </w:r>
    </w:p>
    <w:p w:rsidR="00A04AE8" w:rsidRPr="00A25709" w:rsidRDefault="00FF7F71" w:rsidP="00A25709">
      <w:pPr>
        <w:pStyle w:val="ListParagraph"/>
        <w:numPr>
          <w:ilvl w:val="0"/>
          <w:numId w:val="21"/>
        </w:numPr>
        <w:tabs>
          <w:tab w:val="left" w:pos="9072"/>
        </w:tabs>
        <w:ind w:left="0"/>
        <w:rPr>
          <w:rFonts w:cs="Times New Roman"/>
          <w:sz w:val="24"/>
          <w:szCs w:val="24"/>
        </w:rPr>
      </w:pPr>
      <w:r w:rsidRPr="00A25709">
        <w:rPr>
          <w:rFonts w:cs="Times New Roman"/>
          <w:sz w:val="24"/>
          <w:szCs w:val="24"/>
        </w:rPr>
        <w:t xml:space="preserve">the </w:t>
      </w:r>
      <w:r w:rsidR="00776BAD" w:rsidRPr="00A25709">
        <w:rPr>
          <w:rFonts w:cs="Times New Roman"/>
          <w:sz w:val="24"/>
          <w:szCs w:val="24"/>
        </w:rPr>
        <w:t>scope for</w:t>
      </w:r>
      <w:r w:rsidRPr="00A25709">
        <w:rPr>
          <w:rFonts w:cs="Times New Roman"/>
          <w:sz w:val="24"/>
          <w:szCs w:val="24"/>
        </w:rPr>
        <w:t xml:space="preserve"> conditionalities </w:t>
      </w:r>
      <w:r w:rsidR="00776BAD" w:rsidRPr="00A25709">
        <w:rPr>
          <w:rFonts w:cs="Times New Roman"/>
          <w:sz w:val="24"/>
          <w:szCs w:val="24"/>
        </w:rPr>
        <w:t>to</w:t>
      </w:r>
      <w:r w:rsidRPr="00A25709">
        <w:rPr>
          <w:rFonts w:cs="Times New Roman"/>
          <w:sz w:val="24"/>
          <w:szCs w:val="24"/>
        </w:rPr>
        <w:t xml:space="preserve"> improv</w:t>
      </w:r>
      <w:r w:rsidR="00776BAD" w:rsidRPr="00A25709">
        <w:rPr>
          <w:rFonts w:cs="Times New Roman"/>
          <w:sz w:val="24"/>
          <w:szCs w:val="24"/>
        </w:rPr>
        <w:t>e</w:t>
      </w:r>
      <w:r w:rsidRPr="00A25709">
        <w:rPr>
          <w:rFonts w:cs="Times New Roman"/>
          <w:sz w:val="24"/>
          <w:szCs w:val="24"/>
        </w:rPr>
        <w:t xml:space="preserve"> the policy environment for the Funds</w:t>
      </w:r>
    </w:p>
    <w:p w:rsidR="00A04AE8" w:rsidRPr="00A25709" w:rsidRDefault="00A04AE8" w:rsidP="00A25709">
      <w:pPr>
        <w:pStyle w:val="ListParagraph"/>
        <w:tabs>
          <w:tab w:val="left" w:pos="9072"/>
        </w:tabs>
        <w:ind w:left="0"/>
        <w:rPr>
          <w:rFonts w:cs="Times New Roman"/>
          <w:b/>
          <w:sz w:val="24"/>
          <w:szCs w:val="24"/>
        </w:rPr>
      </w:pPr>
    </w:p>
    <w:p w:rsidR="00921889" w:rsidRPr="00A25709" w:rsidRDefault="00A04AE8" w:rsidP="00A25709">
      <w:pPr>
        <w:pStyle w:val="ListParagraph"/>
        <w:numPr>
          <w:ilvl w:val="0"/>
          <w:numId w:val="17"/>
        </w:numPr>
        <w:tabs>
          <w:tab w:val="left" w:pos="9072"/>
        </w:tabs>
        <w:ind w:left="0"/>
        <w:rPr>
          <w:rFonts w:cs="Times New Roman"/>
          <w:b/>
          <w:sz w:val="24"/>
          <w:szCs w:val="24"/>
        </w:rPr>
      </w:pPr>
      <w:r w:rsidRPr="00A25709">
        <w:rPr>
          <w:rFonts w:cs="Times New Roman"/>
          <w:b/>
          <w:sz w:val="24"/>
          <w:szCs w:val="24"/>
        </w:rPr>
        <w:t>Performance</w:t>
      </w:r>
      <w:r w:rsidR="002748F2" w:rsidRPr="00A25709">
        <w:rPr>
          <w:rFonts w:cs="Times New Roman"/>
          <w:b/>
          <w:sz w:val="24"/>
          <w:szCs w:val="24"/>
        </w:rPr>
        <w:t xml:space="preserve"> and results</w:t>
      </w:r>
      <w:r w:rsidRPr="00A25709">
        <w:rPr>
          <w:rFonts w:cs="Times New Roman"/>
          <w:b/>
          <w:sz w:val="24"/>
          <w:szCs w:val="24"/>
        </w:rPr>
        <w:t xml:space="preserve">: </w:t>
      </w:r>
      <w:r w:rsidR="002748F2" w:rsidRPr="00A25709">
        <w:rPr>
          <w:rFonts w:cs="Times New Roman"/>
          <w:b/>
          <w:sz w:val="24"/>
          <w:szCs w:val="24"/>
        </w:rPr>
        <w:t xml:space="preserve">how can Cohesion policy resources </w:t>
      </w:r>
      <w:proofErr w:type="gramStart"/>
      <w:r w:rsidR="002748F2" w:rsidRPr="00A25709">
        <w:rPr>
          <w:rFonts w:cs="Times New Roman"/>
          <w:b/>
          <w:sz w:val="24"/>
          <w:szCs w:val="24"/>
        </w:rPr>
        <w:t>be</w:t>
      </w:r>
      <w:proofErr w:type="gramEnd"/>
      <w:r w:rsidR="002748F2" w:rsidRPr="00A25709">
        <w:rPr>
          <w:rFonts w:cs="Times New Roman"/>
          <w:b/>
          <w:sz w:val="24"/>
          <w:szCs w:val="24"/>
        </w:rPr>
        <w:t xml:space="preserve"> used most effectively and efficiently?</w:t>
      </w:r>
    </w:p>
    <w:p w:rsidR="00921889" w:rsidRPr="00A25709" w:rsidRDefault="00921889" w:rsidP="00A25709">
      <w:pPr>
        <w:pStyle w:val="ListParagraph"/>
        <w:tabs>
          <w:tab w:val="left" w:pos="9072"/>
        </w:tabs>
        <w:ind w:left="0"/>
        <w:rPr>
          <w:rFonts w:cs="Times New Roman"/>
          <w:b/>
          <w:sz w:val="24"/>
          <w:szCs w:val="24"/>
        </w:rPr>
      </w:pPr>
    </w:p>
    <w:p w:rsidR="00921889" w:rsidRPr="00A25709" w:rsidRDefault="00A04AE8" w:rsidP="00A25709">
      <w:pPr>
        <w:pStyle w:val="ListParagraph"/>
        <w:numPr>
          <w:ilvl w:val="0"/>
          <w:numId w:val="20"/>
        </w:numPr>
        <w:tabs>
          <w:tab w:val="left" w:pos="9072"/>
        </w:tabs>
        <w:ind w:left="0"/>
        <w:rPr>
          <w:rFonts w:cs="Times New Roman"/>
          <w:b/>
          <w:sz w:val="24"/>
          <w:szCs w:val="24"/>
        </w:rPr>
      </w:pPr>
      <w:r w:rsidRPr="00A25709">
        <w:rPr>
          <w:rFonts w:cs="Times New Roman"/>
          <w:sz w:val="24"/>
          <w:szCs w:val="24"/>
        </w:rPr>
        <w:t xml:space="preserve">the </w:t>
      </w:r>
      <w:r w:rsidR="00481D1C" w:rsidRPr="00A25709">
        <w:rPr>
          <w:rFonts w:cs="Times New Roman"/>
          <w:sz w:val="24"/>
          <w:szCs w:val="24"/>
        </w:rPr>
        <w:t>achievements</w:t>
      </w:r>
      <w:bookmarkStart w:id="0" w:name="_GoBack"/>
      <w:bookmarkEnd w:id="0"/>
      <w:r w:rsidRPr="00A25709">
        <w:rPr>
          <w:rFonts w:cs="Times New Roman"/>
          <w:sz w:val="24"/>
          <w:szCs w:val="24"/>
        </w:rPr>
        <w:t xml:space="preserve"> of Structural and Cohesion Funds in 2007-13</w:t>
      </w:r>
    </w:p>
    <w:p w:rsidR="00776BAD" w:rsidRPr="00A25709" w:rsidRDefault="00776BAD" w:rsidP="00A25709">
      <w:pPr>
        <w:pStyle w:val="ListParagraph"/>
        <w:numPr>
          <w:ilvl w:val="0"/>
          <w:numId w:val="20"/>
        </w:numPr>
        <w:tabs>
          <w:tab w:val="left" w:pos="9072"/>
        </w:tabs>
        <w:ind w:left="0"/>
        <w:rPr>
          <w:rFonts w:cs="Times New Roman"/>
          <w:b/>
          <w:sz w:val="24"/>
          <w:szCs w:val="24"/>
        </w:rPr>
      </w:pPr>
      <w:r w:rsidRPr="00A25709">
        <w:rPr>
          <w:rFonts w:cs="Times New Roman"/>
          <w:sz w:val="24"/>
          <w:szCs w:val="24"/>
        </w:rPr>
        <w:t>the contribution of performance frameworks to transparency and accountability</w:t>
      </w:r>
    </w:p>
    <w:p w:rsidR="00A04AE8" w:rsidRPr="00A25709" w:rsidRDefault="00921889" w:rsidP="00A25709">
      <w:pPr>
        <w:pStyle w:val="ListParagraph"/>
        <w:numPr>
          <w:ilvl w:val="0"/>
          <w:numId w:val="20"/>
        </w:numPr>
        <w:tabs>
          <w:tab w:val="left" w:pos="9072"/>
        </w:tabs>
        <w:ind w:left="0"/>
        <w:rPr>
          <w:rFonts w:cs="Times New Roman"/>
          <w:b/>
          <w:sz w:val="24"/>
          <w:szCs w:val="24"/>
        </w:rPr>
      </w:pPr>
      <w:r w:rsidRPr="00A25709">
        <w:rPr>
          <w:rFonts w:cs="Times New Roman"/>
          <w:sz w:val="24"/>
          <w:szCs w:val="24"/>
        </w:rPr>
        <w:t>i</w:t>
      </w:r>
      <w:r w:rsidR="00A04AE8" w:rsidRPr="00A25709">
        <w:rPr>
          <w:rFonts w:cs="Times New Roman"/>
          <w:sz w:val="24"/>
          <w:szCs w:val="24"/>
        </w:rPr>
        <w:t xml:space="preserve">mproving methods for Cohesion policy evaluation </w:t>
      </w:r>
    </w:p>
    <w:p w:rsidR="00A04AE8" w:rsidRPr="00A25709" w:rsidRDefault="00A04AE8" w:rsidP="00A25709">
      <w:pPr>
        <w:pStyle w:val="ListParagraph"/>
        <w:tabs>
          <w:tab w:val="left" w:pos="9072"/>
        </w:tabs>
        <w:ind w:left="0"/>
        <w:rPr>
          <w:rFonts w:cs="Times New Roman"/>
          <w:sz w:val="24"/>
          <w:szCs w:val="24"/>
        </w:rPr>
      </w:pPr>
    </w:p>
    <w:p w:rsidR="00FF7F71" w:rsidRPr="00A25709" w:rsidRDefault="00A04AE8" w:rsidP="00A25709">
      <w:pPr>
        <w:pStyle w:val="ListParagraph"/>
        <w:numPr>
          <w:ilvl w:val="0"/>
          <w:numId w:val="17"/>
        </w:numPr>
        <w:tabs>
          <w:tab w:val="left" w:pos="9072"/>
        </w:tabs>
        <w:ind w:left="0"/>
        <w:rPr>
          <w:rFonts w:cs="Times New Roman"/>
          <w:b/>
          <w:sz w:val="24"/>
          <w:szCs w:val="24"/>
        </w:rPr>
      </w:pPr>
      <w:r w:rsidRPr="00A25709">
        <w:rPr>
          <w:rFonts w:cs="Times New Roman"/>
          <w:b/>
          <w:sz w:val="24"/>
          <w:szCs w:val="24"/>
        </w:rPr>
        <w:t>I</w:t>
      </w:r>
      <w:r w:rsidR="00A96C65" w:rsidRPr="00A25709">
        <w:rPr>
          <w:rFonts w:cs="Times New Roman"/>
          <w:b/>
          <w:sz w:val="24"/>
          <w:szCs w:val="24"/>
        </w:rPr>
        <w:t>nstruments</w:t>
      </w:r>
      <w:r w:rsidRPr="00A25709">
        <w:rPr>
          <w:rFonts w:cs="Times New Roman"/>
          <w:b/>
          <w:sz w:val="24"/>
          <w:szCs w:val="24"/>
        </w:rPr>
        <w:t xml:space="preserve">: </w:t>
      </w:r>
      <w:proofErr w:type="gramStart"/>
      <w:r w:rsidR="002B3E62" w:rsidRPr="00A25709">
        <w:rPr>
          <w:rFonts w:cs="Times New Roman"/>
          <w:b/>
          <w:sz w:val="24"/>
          <w:szCs w:val="24"/>
        </w:rPr>
        <w:t>what kind of Cohesion policy interventions make</w:t>
      </w:r>
      <w:proofErr w:type="gramEnd"/>
      <w:r w:rsidR="002B3E62" w:rsidRPr="00A25709">
        <w:rPr>
          <w:rFonts w:cs="Times New Roman"/>
          <w:b/>
          <w:sz w:val="24"/>
          <w:szCs w:val="24"/>
        </w:rPr>
        <w:t xml:space="preserve"> a difference?</w:t>
      </w:r>
    </w:p>
    <w:p w:rsidR="00FF7F71" w:rsidRPr="00A25709" w:rsidRDefault="00FF7F71" w:rsidP="00A25709">
      <w:pPr>
        <w:pStyle w:val="ListParagraph"/>
        <w:tabs>
          <w:tab w:val="left" w:pos="9072"/>
        </w:tabs>
        <w:ind w:left="0"/>
        <w:rPr>
          <w:rFonts w:cs="Times New Roman"/>
          <w:b/>
          <w:sz w:val="24"/>
          <w:szCs w:val="24"/>
        </w:rPr>
      </w:pPr>
    </w:p>
    <w:p w:rsidR="002B3E62" w:rsidRPr="00A25709" w:rsidRDefault="002B3E62" w:rsidP="00A25709">
      <w:pPr>
        <w:pStyle w:val="ListParagraph"/>
        <w:numPr>
          <w:ilvl w:val="0"/>
          <w:numId w:val="22"/>
        </w:numPr>
        <w:tabs>
          <w:tab w:val="left" w:pos="9072"/>
        </w:tabs>
        <w:ind w:left="0"/>
        <w:rPr>
          <w:rFonts w:cs="Times New Roman"/>
          <w:sz w:val="24"/>
          <w:szCs w:val="24"/>
        </w:rPr>
      </w:pPr>
      <w:r w:rsidRPr="00A25709">
        <w:rPr>
          <w:rFonts w:cs="Times New Roman"/>
          <w:sz w:val="24"/>
          <w:szCs w:val="24"/>
        </w:rPr>
        <w:t>the role of financial instruments in improving access to finance in less-developed regions</w:t>
      </w:r>
    </w:p>
    <w:p w:rsidR="002B3E62" w:rsidRPr="00A25709" w:rsidRDefault="002B3E62" w:rsidP="00A25709">
      <w:pPr>
        <w:pStyle w:val="ListParagraph"/>
        <w:numPr>
          <w:ilvl w:val="0"/>
          <w:numId w:val="22"/>
        </w:numPr>
        <w:tabs>
          <w:tab w:val="left" w:pos="9072"/>
        </w:tabs>
        <w:ind w:left="0"/>
        <w:rPr>
          <w:rFonts w:cs="Times New Roman"/>
          <w:sz w:val="24"/>
          <w:szCs w:val="24"/>
        </w:rPr>
      </w:pPr>
      <w:r w:rsidRPr="00A25709">
        <w:rPr>
          <w:rFonts w:cs="Times New Roman"/>
          <w:sz w:val="24"/>
          <w:szCs w:val="24"/>
        </w:rPr>
        <w:t>the use of integrated investments to promote sustainable urban development</w:t>
      </w:r>
    </w:p>
    <w:p w:rsidR="002B3E62" w:rsidRPr="00A25709" w:rsidRDefault="00B866C0" w:rsidP="00A25709">
      <w:pPr>
        <w:pStyle w:val="ListParagraph"/>
        <w:numPr>
          <w:ilvl w:val="0"/>
          <w:numId w:val="22"/>
        </w:numPr>
        <w:tabs>
          <w:tab w:val="left" w:pos="9072"/>
        </w:tabs>
        <w:ind w:left="0"/>
        <w:rPr>
          <w:rFonts w:cs="Times New Roman"/>
          <w:sz w:val="24"/>
          <w:szCs w:val="24"/>
        </w:rPr>
      </w:pPr>
      <w:r w:rsidRPr="00A25709">
        <w:rPr>
          <w:rFonts w:cs="Times New Roman"/>
          <w:sz w:val="24"/>
          <w:szCs w:val="24"/>
        </w:rPr>
        <w:t>lessons from local and community development for 2014-20</w:t>
      </w:r>
    </w:p>
    <w:p w:rsidR="00A96C65" w:rsidRPr="00A25709" w:rsidRDefault="002B3E62" w:rsidP="00A25709">
      <w:pPr>
        <w:pStyle w:val="ListParagraph"/>
        <w:numPr>
          <w:ilvl w:val="0"/>
          <w:numId w:val="22"/>
        </w:numPr>
        <w:tabs>
          <w:tab w:val="left" w:pos="9072"/>
        </w:tabs>
        <w:ind w:left="0"/>
        <w:rPr>
          <w:rFonts w:cs="Times New Roman"/>
          <w:sz w:val="24"/>
          <w:szCs w:val="24"/>
        </w:rPr>
      </w:pPr>
      <w:r w:rsidRPr="00A25709">
        <w:rPr>
          <w:rFonts w:cs="Times New Roman"/>
          <w:sz w:val="24"/>
          <w:szCs w:val="24"/>
        </w:rPr>
        <w:t xml:space="preserve">improving the </w:t>
      </w:r>
      <w:r w:rsidR="00123B67" w:rsidRPr="00A25709">
        <w:rPr>
          <w:rFonts w:cs="Times New Roman"/>
          <w:sz w:val="24"/>
          <w:szCs w:val="24"/>
        </w:rPr>
        <w:t xml:space="preserve">visibility of </w:t>
      </w:r>
      <w:r w:rsidRPr="00A25709">
        <w:rPr>
          <w:rFonts w:cs="Times New Roman"/>
          <w:sz w:val="24"/>
          <w:szCs w:val="24"/>
        </w:rPr>
        <w:t xml:space="preserve">results </w:t>
      </w:r>
      <w:r w:rsidR="00123B67" w:rsidRPr="00A25709">
        <w:rPr>
          <w:rFonts w:cs="Times New Roman"/>
          <w:sz w:val="24"/>
          <w:szCs w:val="24"/>
        </w:rPr>
        <w:t>from</w:t>
      </w:r>
      <w:r w:rsidRPr="00A25709">
        <w:rPr>
          <w:rFonts w:cs="Times New Roman"/>
          <w:sz w:val="24"/>
          <w:szCs w:val="24"/>
        </w:rPr>
        <w:t xml:space="preserve"> </w:t>
      </w:r>
      <w:r w:rsidR="00A96C65" w:rsidRPr="00A25709">
        <w:rPr>
          <w:rFonts w:cs="Times New Roman"/>
          <w:sz w:val="24"/>
          <w:szCs w:val="24"/>
        </w:rPr>
        <w:t>Eu</w:t>
      </w:r>
      <w:r w:rsidRPr="00A25709">
        <w:rPr>
          <w:rFonts w:cs="Times New Roman"/>
          <w:sz w:val="24"/>
          <w:szCs w:val="24"/>
        </w:rPr>
        <w:t>ropean Territorial Cooperation programmes and projects</w:t>
      </w:r>
    </w:p>
    <w:p w:rsidR="00A04AE8" w:rsidRPr="00A25709" w:rsidRDefault="00A04AE8" w:rsidP="00A25709">
      <w:pPr>
        <w:pStyle w:val="ListParagraph"/>
        <w:tabs>
          <w:tab w:val="left" w:pos="9072"/>
        </w:tabs>
        <w:ind w:left="0"/>
        <w:rPr>
          <w:rFonts w:cs="Times New Roman"/>
          <w:b/>
          <w:sz w:val="24"/>
          <w:szCs w:val="24"/>
        </w:rPr>
      </w:pPr>
    </w:p>
    <w:p w:rsidR="00A04AE8" w:rsidRPr="00A25709" w:rsidRDefault="005F567D" w:rsidP="00A25709">
      <w:pPr>
        <w:pStyle w:val="ListParagraph"/>
        <w:numPr>
          <w:ilvl w:val="0"/>
          <w:numId w:val="17"/>
        </w:numPr>
        <w:tabs>
          <w:tab w:val="left" w:pos="9072"/>
        </w:tabs>
        <w:ind w:left="0"/>
        <w:rPr>
          <w:rFonts w:cs="Times New Roman"/>
          <w:b/>
          <w:sz w:val="24"/>
          <w:szCs w:val="24"/>
        </w:rPr>
      </w:pPr>
      <w:r w:rsidRPr="00A25709">
        <w:rPr>
          <w:rFonts w:cs="Times New Roman"/>
          <w:b/>
          <w:sz w:val="24"/>
          <w:szCs w:val="24"/>
        </w:rPr>
        <w:t>EU e</w:t>
      </w:r>
      <w:r w:rsidR="00A04AE8" w:rsidRPr="00A25709">
        <w:rPr>
          <w:rFonts w:cs="Times New Roman"/>
          <w:b/>
          <w:sz w:val="24"/>
          <w:szCs w:val="24"/>
        </w:rPr>
        <w:t xml:space="preserve">conomic governance and Cohesion policy: </w:t>
      </w:r>
      <w:r w:rsidRPr="00A25709">
        <w:rPr>
          <w:rFonts w:cs="Times New Roman"/>
          <w:b/>
          <w:sz w:val="24"/>
          <w:szCs w:val="24"/>
        </w:rPr>
        <w:t>what are the implications of governance reforms for Cohesion policy</w:t>
      </w:r>
    </w:p>
    <w:p w:rsidR="005F567D" w:rsidRPr="00A25709" w:rsidRDefault="005F567D" w:rsidP="00A25709">
      <w:pPr>
        <w:pStyle w:val="ListParagraph"/>
        <w:tabs>
          <w:tab w:val="left" w:pos="9072"/>
        </w:tabs>
        <w:ind w:left="0"/>
        <w:rPr>
          <w:rFonts w:cs="Times New Roman"/>
          <w:b/>
          <w:sz w:val="24"/>
          <w:szCs w:val="24"/>
        </w:rPr>
      </w:pPr>
    </w:p>
    <w:p w:rsidR="005F567D" w:rsidRPr="00A25709" w:rsidRDefault="005F567D" w:rsidP="00A25709">
      <w:pPr>
        <w:pStyle w:val="ListParagraph"/>
        <w:numPr>
          <w:ilvl w:val="0"/>
          <w:numId w:val="24"/>
        </w:numPr>
        <w:tabs>
          <w:tab w:val="left" w:pos="9072"/>
        </w:tabs>
        <w:ind w:left="0"/>
        <w:rPr>
          <w:rFonts w:cs="Times New Roman"/>
          <w:sz w:val="24"/>
          <w:szCs w:val="24"/>
        </w:rPr>
      </w:pPr>
      <w:r w:rsidRPr="00A25709">
        <w:rPr>
          <w:rFonts w:cs="Times New Roman"/>
          <w:sz w:val="24"/>
          <w:szCs w:val="24"/>
        </w:rPr>
        <w:t>the relationships  between  Cohesion policy and EU macroeconomic governance objectives</w:t>
      </w:r>
    </w:p>
    <w:p w:rsidR="005F567D" w:rsidRPr="00A25709" w:rsidRDefault="005F567D" w:rsidP="00A25709">
      <w:pPr>
        <w:pStyle w:val="ListParagraph"/>
        <w:numPr>
          <w:ilvl w:val="0"/>
          <w:numId w:val="24"/>
        </w:numPr>
        <w:tabs>
          <w:tab w:val="left" w:pos="9072"/>
        </w:tabs>
        <w:ind w:left="0"/>
        <w:rPr>
          <w:rFonts w:cs="Times New Roman"/>
          <w:sz w:val="24"/>
          <w:szCs w:val="24"/>
        </w:rPr>
      </w:pPr>
      <w:r w:rsidRPr="00A25709">
        <w:rPr>
          <w:rFonts w:cs="Times New Roman"/>
          <w:sz w:val="24"/>
          <w:szCs w:val="24"/>
        </w:rPr>
        <w:t>inter-institutional relations in economic governance and Cohesion policy</w:t>
      </w:r>
    </w:p>
    <w:p w:rsidR="005F567D" w:rsidRPr="00A25709" w:rsidRDefault="005F567D" w:rsidP="00A25709">
      <w:pPr>
        <w:pStyle w:val="ListParagraph"/>
        <w:numPr>
          <w:ilvl w:val="0"/>
          <w:numId w:val="24"/>
        </w:numPr>
        <w:tabs>
          <w:tab w:val="left" w:pos="9072"/>
        </w:tabs>
        <w:ind w:left="0"/>
        <w:rPr>
          <w:rFonts w:cs="Times New Roman"/>
          <w:sz w:val="24"/>
          <w:szCs w:val="24"/>
        </w:rPr>
      </w:pPr>
      <w:r w:rsidRPr="00A25709">
        <w:rPr>
          <w:rFonts w:cs="Times New Roman"/>
          <w:sz w:val="24"/>
          <w:szCs w:val="24"/>
        </w:rPr>
        <w:t>scenarios for economic and monetary union and implications for Cohesion policy</w:t>
      </w:r>
    </w:p>
    <w:p w:rsidR="00966AE9" w:rsidRPr="00A25709" w:rsidRDefault="00966AE9" w:rsidP="00A25709">
      <w:pPr>
        <w:pStyle w:val="ListParagraph"/>
        <w:tabs>
          <w:tab w:val="left" w:pos="9072"/>
        </w:tabs>
        <w:ind w:left="0"/>
        <w:rPr>
          <w:rFonts w:cs="Times New Roman"/>
          <w:b/>
          <w:sz w:val="24"/>
          <w:szCs w:val="24"/>
        </w:rPr>
      </w:pPr>
    </w:p>
    <w:p w:rsidR="00AD44FB" w:rsidRPr="00A25709" w:rsidRDefault="00B1085C" w:rsidP="00A25709">
      <w:pPr>
        <w:tabs>
          <w:tab w:val="left" w:pos="9072"/>
        </w:tabs>
        <w:rPr>
          <w:rFonts w:cs="Times New Roman"/>
          <w:b/>
          <w:sz w:val="24"/>
          <w:szCs w:val="24"/>
        </w:rPr>
      </w:pPr>
      <w:r w:rsidRPr="00A25709">
        <w:rPr>
          <w:rFonts w:cs="Times New Roman"/>
          <w:b/>
          <w:sz w:val="24"/>
          <w:szCs w:val="24"/>
        </w:rPr>
        <w:t>Submission of papers</w:t>
      </w:r>
    </w:p>
    <w:p w:rsidR="002223ED" w:rsidRPr="00A25709" w:rsidRDefault="00B1085C" w:rsidP="00C75326">
      <w:pPr>
        <w:tabs>
          <w:tab w:val="left" w:pos="9072"/>
        </w:tabs>
        <w:rPr>
          <w:rFonts w:cs="Times New Roman"/>
          <w:sz w:val="24"/>
          <w:szCs w:val="24"/>
        </w:rPr>
      </w:pPr>
      <w:r w:rsidRPr="00A25709">
        <w:rPr>
          <w:rFonts w:cs="Times New Roman"/>
          <w:sz w:val="24"/>
          <w:szCs w:val="24"/>
        </w:rPr>
        <w:t>Please submit proposals for papers in the form of a 500-word abstract through the Regional Stu</w:t>
      </w:r>
      <w:r w:rsidR="00C75326">
        <w:rPr>
          <w:rFonts w:cs="Times New Roman"/>
          <w:sz w:val="24"/>
          <w:szCs w:val="24"/>
        </w:rPr>
        <w:t>dies Association online portal (</w:t>
      </w:r>
      <w:r w:rsidR="00C75326" w:rsidRPr="00C75326">
        <w:rPr>
          <w:rFonts w:cs="Times New Roman"/>
          <w:sz w:val="24"/>
          <w:szCs w:val="24"/>
        </w:rPr>
        <w:t>https://members.regionalstudies.org/lounge/Meetings/Meeting?ID=120</w:t>
      </w:r>
      <w:r w:rsidR="00C75326">
        <w:rPr>
          <w:rFonts w:cs="Times New Roman"/>
          <w:sz w:val="24"/>
          <w:szCs w:val="24"/>
        </w:rPr>
        <w:t>)</w:t>
      </w:r>
      <w:r w:rsidRPr="00A25709">
        <w:rPr>
          <w:rFonts w:cs="Times New Roman"/>
          <w:sz w:val="24"/>
          <w:szCs w:val="24"/>
        </w:rPr>
        <w:t xml:space="preserve"> by </w:t>
      </w:r>
      <w:r w:rsidRPr="00A25709">
        <w:rPr>
          <w:rFonts w:cs="Times New Roman"/>
          <w:b/>
          <w:sz w:val="24"/>
          <w:szCs w:val="24"/>
          <w:u w:val="single"/>
        </w:rPr>
        <w:t>31 October 2014</w:t>
      </w:r>
      <w:r w:rsidRPr="00A25709">
        <w:rPr>
          <w:rFonts w:cs="Times New Roman"/>
          <w:sz w:val="24"/>
          <w:szCs w:val="24"/>
        </w:rPr>
        <w:t>.  Given t</w:t>
      </w:r>
      <w:r w:rsidR="002223ED" w:rsidRPr="00A25709">
        <w:rPr>
          <w:rFonts w:cs="Times New Roman"/>
          <w:sz w:val="24"/>
          <w:szCs w:val="24"/>
        </w:rPr>
        <w:t>he purpose and audience of the c</w:t>
      </w:r>
      <w:r w:rsidRPr="00A25709">
        <w:rPr>
          <w:rFonts w:cs="Times New Roman"/>
          <w:sz w:val="24"/>
          <w:szCs w:val="24"/>
        </w:rPr>
        <w:t>onference, the abstracts should demonstrate policy implications or lessons</w:t>
      </w:r>
      <w:r w:rsidR="00481D1C" w:rsidRPr="00A25709">
        <w:rPr>
          <w:rFonts w:cs="Times New Roman"/>
          <w:sz w:val="24"/>
          <w:szCs w:val="24"/>
        </w:rPr>
        <w:t xml:space="preserve"> insofar as possible. </w:t>
      </w:r>
    </w:p>
    <w:p w:rsidR="00B1085C" w:rsidRPr="00A25709" w:rsidRDefault="00B1085C" w:rsidP="00A25709">
      <w:pPr>
        <w:tabs>
          <w:tab w:val="left" w:pos="9072"/>
        </w:tabs>
        <w:jc w:val="both"/>
        <w:rPr>
          <w:rFonts w:cs="Times New Roman"/>
          <w:sz w:val="24"/>
          <w:szCs w:val="24"/>
        </w:rPr>
      </w:pPr>
      <w:r w:rsidRPr="00A25709">
        <w:rPr>
          <w:rFonts w:cs="Times New Roman"/>
          <w:sz w:val="24"/>
          <w:szCs w:val="24"/>
        </w:rPr>
        <w:t xml:space="preserve">Proposers will be notified of the selected papers by 30 November 2014, with the expectation of a full paper being submitted by 11 January 2015. </w:t>
      </w:r>
    </w:p>
    <w:p w:rsidR="00481D1C" w:rsidRPr="00A25709" w:rsidRDefault="00481D1C" w:rsidP="00A25709">
      <w:pPr>
        <w:tabs>
          <w:tab w:val="left" w:pos="9072"/>
        </w:tabs>
        <w:rPr>
          <w:rFonts w:cs="Times New Roman"/>
          <w:b/>
          <w:sz w:val="24"/>
          <w:szCs w:val="24"/>
        </w:rPr>
      </w:pPr>
    </w:p>
    <w:p w:rsidR="000D7D74" w:rsidRDefault="000D7D74" w:rsidP="00A25709">
      <w:pPr>
        <w:tabs>
          <w:tab w:val="left" w:pos="9072"/>
        </w:tabs>
        <w:rPr>
          <w:rFonts w:cs="Times New Roman"/>
          <w:b/>
          <w:sz w:val="24"/>
          <w:szCs w:val="24"/>
        </w:rPr>
      </w:pPr>
    </w:p>
    <w:p w:rsidR="00481D1C" w:rsidRPr="00A25709" w:rsidRDefault="00481D1C" w:rsidP="00A25709">
      <w:pPr>
        <w:tabs>
          <w:tab w:val="left" w:pos="9072"/>
        </w:tabs>
        <w:rPr>
          <w:rFonts w:cs="Times New Roman"/>
          <w:b/>
          <w:sz w:val="24"/>
          <w:szCs w:val="24"/>
        </w:rPr>
      </w:pPr>
      <w:r w:rsidRPr="00A25709">
        <w:rPr>
          <w:rFonts w:cs="Times New Roman"/>
          <w:b/>
          <w:sz w:val="24"/>
          <w:szCs w:val="24"/>
        </w:rPr>
        <w:t>Conference organisation</w:t>
      </w:r>
    </w:p>
    <w:p w:rsidR="00481D1C" w:rsidRPr="00A25709" w:rsidRDefault="00481D1C" w:rsidP="00A25709">
      <w:pPr>
        <w:tabs>
          <w:tab w:val="left" w:pos="9072"/>
        </w:tabs>
        <w:jc w:val="both"/>
        <w:rPr>
          <w:rFonts w:cs="Times New Roman"/>
          <w:sz w:val="24"/>
          <w:szCs w:val="24"/>
        </w:rPr>
      </w:pPr>
      <w:r w:rsidRPr="00A25709">
        <w:rPr>
          <w:rFonts w:cs="Times New Roman"/>
          <w:sz w:val="24"/>
          <w:szCs w:val="24"/>
        </w:rPr>
        <w:t>It should be noted that the organisation of the Conference is being managed jointly by the RSA, DG Regio and the Latvian EU Presidency.</w:t>
      </w:r>
    </w:p>
    <w:p w:rsidR="00481D1C" w:rsidRPr="00A25709" w:rsidRDefault="00481D1C" w:rsidP="00A25709">
      <w:pPr>
        <w:jc w:val="both"/>
        <w:rPr>
          <w:rFonts w:cs="Times New Roman"/>
          <w:sz w:val="24"/>
          <w:szCs w:val="24"/>
        </w:rPr>
      </w:pPr>
      <w:r w:rsidRPr="00A25709">
        <w:rPr>
          <w:rFonts w:cs="Times New Roman"/>
          <w:sz w:val="24"/>
          <w:szCs w:val="24"/>
        </w:rPr>
        <w:t xml:space="preserve">Academic </w:t>
      </w:r>
      <w:proofErr w:type="spellStart"/>
      <w:r w:rsidRPr="00A25709">
        <w:rPr>
          <w:rFonts w:cs="Times New Roman"/>
          <w:sz w:val="24"/>
          <w:szCs w:val="24"/>
        </w:rPr>
        <w:t>organiser</w:t>
      </w:r>
      <w:proofErr w:type="spellEnd"/>
      <w:r w:rsidRPr="00A25709">
        <w:rPr>
          <w:rFonts w:cs="Times New Roman"/>
          <w:sz w:val="24"/>
          <w:szCs w:val="24"/>
        </w:rPr>
        <w:t xml:space="preserve">: Professor John Bachtler, European Policies Research Centre, University of Strathclyde, UK </w:t>
      </w:r>
    </w:p>
    <w:p w:rsidR="00481D1C" w:rsidRPr="00A25709" w:rsidRDefault="00481D1C" w:rsidP="00A25709">
      <w:pPr>
        <w:jc w:val="both"/>
        <w:rPr>
          <w:rFonts w:cs="Times New Roman"/>
          <w:sz w:val="24"/>
          <w:szCs w:val="24"/>
        </w:rPr>
      </w:pPr>
      <w:r w:rsidRPr="00A25709">
        <w:rPr>
          <w:rFonts w:cs="Times New Roman"/>
          <w:sz w:val="24"/>
          <w:szCs w:val="24"/>
        </w:rPr>
        <w:t xml:space="preserve">RSA </w:t>
      </w:r>
      <w:proofErr w:type="spellStart"/>
      <w:r w:rsidRPr="00A25709">
        <w:rPr>
          <w:rFonts w:cs="Times New Roman"/>
          <w:sz w:val="24"/>
          <w:szCs w:val="24"/>
        </w:rPr>
        <w:t>organiser</w:t>
      </w:r>
      <w:proofErr w:type="spellEnd"/>
      <w:r w:rsidRPr="00A25709">
        <w:rPr>
          <w:rFonts w:cs="Times New Roman"/>
          <w:sz w:val="24"/>
          <w:szCs w:val="24"/>
        </w:rPr>
        <w:t>: Daniela Carl</w:t>
      </w:r>
      <w:r w:rsidR="004322BD">
        <w:rPr>
          <w:rFonts w:cs="Times New Roman"/>
          <w:sz w:val="24"/>
          <w:szCs w:val="24"/>
        </w:rPr>
        <w:t xml:space="preserve">, Email </w:t>
      </w:r>
      <w:hyperlink r:id="rId11" w:history="1">
        <w:r w:rsidR="004322BD" w:rsidRPr="00A25709">
          <w:rPr>
            <w:rStyle w:val="Hyperlink"/>
            <w:rFonts w:cs="Times New Roman"/>
            <w:sz w:val="24"/>
            <w:szCs w:val="24"/>
          </w:rPr>
          <w:t>daniela.carl@regionalstudies.org</w:t>
        </w:r>
      </w:hyperlink>
    </w:p>
    <w:p w:rsidR="00BF6BFF" w:rsidRDefault="00BF6BFF" w:rsidP="00A25709">
      <w:pPr>
        <w:tabs>
          <w:tab w:val="left" w:pos="9072"/>
        </w:tabs>
        <w:rPr>
          <w:rFonts w:cs="Times New Roman"/>
          <w:b/>
          <w:sz w:val="24"/>
          <w:szCs w:val="24"/>
        </w:rPr>
      </w:pPr>
    </w:p>
    <w:p w:rsidR="00A25709" w:rsidRPr="00A25709" w:rsidRDefault="00A25709" w:rsidP="00A25709">
      <w:pPr>
        <w:tabs>
          <w:tab w:val="left" w:pos="9072"/>
        </w:tabs>
        <w:rPr>
          <w:rFonts w:cs="Times New Roman"/>
          <w:b/>
          <w:sz w:val="24"/>
          <w:szCs w:val="24"/>
        </w:rPr>
      </w:pPr>
      <w:r w:rsidRPr="00A25709">
        <w:rPr>
          <w:rFonts w:cs="Times New Roman"/>
          <w:b/>
          <w:sz w:val="24"/>
          <w:szCs w:val="24"/>
        </w:rPr>
        <w:t>Contact</w:t>
      </w:r>
    </w:p>
    <w:p w:rsidR="004322BD" w:rsidRDefault="002223ED" w:rsidP="00A25709">
      <w:pPr>
        <w:jc w:val="both"/>
        <w:rPr>
          <w:rFonts w:cs="Times New Roman"/>
          <w:sz w:val="24"/>
          <w:szCs w:val="24"/>
        </w:rPr>
      </w:pPr>
      <w:r w:rsidRPr="00A25709">
        <w:rPr>
          <w:rFonts w:cs="Times New Roman"/>
          <w:sz w:val="24"/>
          <w:szCs w:val="24"/>
        </w:rPr>
        <w:t xml:space="preserve">Please contact </w:t>
      </w:r>
      <w:r w:rsidR="004322BD">
        <w:rPr>
          <w:rFonts w:cs="Times New Roman"/>
          <w:sz w:val="24"/>
          <w:szCs w:val="24"/>
        </w:rPr>
        <w:t xml:space="preserve">Elizabeth Mitchell at </w:t>
      </w:r>
      <w:hyperlink r:id="rId12" w:history="1">
        <w:r w:rsidR="004322BD" w:rsidRPr="00BA378F">
          <w:rPr>
            <w:rStyle w:val="Hyperlink"/>
            <w:rFonts w:cs="Times New Roman"/>
            <w:sz w:val="24"/>
            <w:szCs w:val="24"/>
          </w:rPr>
          <w:t>elizabeth.mitchell@regionalstudies.org</w:t>
        </w:r>
      </w:hyperlink>
      <w:r w:rsidRPr="00A25709">
        <w:rPr>
          <w:rFonts w:cs="Times New Roman"/>
          <w:sz w:val="24"/>
          <w:szCs w:val="24"/>
        </w:rPr>
        <w:t xml:space="preserve"> for further details and questions </w:t>
      </w:r>
      <w:r w:rsidR="00C75326">
        <w:rPr>
          <w:rFonts w:cs="Times New Roman"/>
          <w:sz w:val="24"/>
          <w:szCs w:val="24"/>
        </w:rPr>
        <w:t xml:space="preserve">regarding this event or visit the conference’s website at </w:t>
      </w:r>
      <w:hyperlink r:id="rId13" w:history="1">
        <w:r w:rsidR="00C75326" w:rsidRPr="00394285">
          <w:rPr>
            <w:rStyle w:val="Hyperlink"/>
            <w:rFonts w:cs="Times New Roman"/>
            <w:sz w:val="24"/>
            <w:szCs w:val="24"/>
          </w:rPr>
          <w:t>http://www.regionalstudies.org/conferences/conference/challenges-for-the-new-cohesion-policy-in-2014-2020-an-academic-and-policy</w:t>
        </w:r>
      </w:hyperlink>
    </w:p>
    <w:p w:rsidR="00C75326" w:rsidRDefault="00C75326" w:rsidP="00A25709">
      <w:pPr>
        <w:jc w:val="both"/>
        <w:rPr>
          <w:rFonts w:cs="Times New Roman"/>
          <w:sz w:val="24"/>
          <w:szCs w:val="24"/>
        </w:rPr>
      </w:pPr>
    </w:p>
    <w:p w:rsidR="002223ED" w:rsidRPr="00A25709" w:rsidRDefault="002223ED" w:rsidP="00A25709">
      <w:pPr>
        <w:jc w:val="both"/>
        <w:rPr>
          <w:rFonts w:cs="Times New Roman"/>
          <w:sz w:val="24"/>
          <w:szCs w:val="24"/>
        </w:rPr>
      </w:pPr>
    </w:p>
    <w:sectPr w:rsidR="002223ED" w:rsidRPr="00A25709" w:rsidSect="00A25709">
      <w:type w:val="continuous"/>
      <w:pgSz w:w="11900" w:h="16840"/>
      <w:pgMar w:top="260" w:right="1552" w:bottom="1220" w:left="1320" w:header="720" w:footer="103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67D" w:rsidRDefault="003C067D">
      <w:pPr>
        <w:spacing w:after="0" w:line="240" w:lineRule="auto"/>
      </w:pPr>
      <w:r>
        <w:separator/>
      </w:r>
    </w:p>
  </w:endnote>
  <w:endnote w:type="continuationSeparator" w:id="0">
    <w:p w:rsidR="003C067D" w:rsidRDefault="003C0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67D" w:rsidRDefault="003C067D">
      <w:pPr>
        <w:spacing w:after="0" w:line="240" w:lineRule="auto"/>
      </w:pPr>
      <w:r>
        <w:separator/>
      </w:r>
    </w:p>
  </w:footnote>
  <w:footnote w:type="continuationSeparator" w:id="0">
    <w:p w:rsidR="003C067D" w:rsidRDefault="003C06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267B"/>
    <w:multiLevelType w:val="hybridMultilevel"/>
    <w:tmpl w:val="DB4202A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nsid w:val="0085236A"/>
    <w:multiLevelType w:val="hybridMultilevel"/>
    <w:tmpl w:val="A10A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177AC4"/>
    <w:multiLevelType w:val="hybridMultilevel"/>
    <w:tmpl w:val="C1E2892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012171E1"/>
    <w:multiLevelType w:val="hybridMultilevel"/>
    <w:tmpl w:val="2232607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0A7271B1"/>
    <w:multiLevelType w:val="hybridMultilevel"/>
    <w:tmpl w:val="4BAC68B4"/>
    <w:lvl w:ilvl="0" w:tplc="68BC7D9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0F2C4D5B"/>
    <w:multiLevelType w:val="hybridMultilevel"/>
    <w:tmpl w:val="A6C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8614F9"/>
    <w:multiLevelType w:val="hybridMultilevel"/>
    <w:tmpl w:val="A34076A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nsid w:val="168364F7"/>
    <w:multiLevelType w:val="hybridMultilevel"/>
    <w:tmpl w:val="6A9C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E1417C"/>
    <w:multiLevelType w:val="hybridMultilevel"/>
    <w:tmpl w:val="CBB47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0A27CB"/>
    <w:multiLevelType w:val="hybridMultilevel"/>
    <w:tmpl w:val="BB74F13C"/>
    <w:lvl w:ilvl="0" w:tplc="08090001">
      <w:start w:val="1"/>
      <w:numFmt w:val="bullet"/>
      <w:lvlText w:val=""/>
      <w:lvlJc w:val="left"/>
      <w:pPr>
        <w:ind w:left="862" w:hanging="360"/>
      </w:pPr>
      <w:rPr>
        <w:rFonts w:ascii="Symbol" w:hAnsi="Symbo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nsid w:val="266E78FA"/>
    <w:multiLevelType w:val="hybridMultilevel"/>
    <w:tmpl w:val="B20A9D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875418A"/>
    <w:multiLevelType w:val="hybridMultilevel"/>
    <w:tmpl w:val="70560E9A"/>
    <w:lvl w:ilvl="0" w:tplc="08090001">
      <w:start w:val="1"/>
      <w:numFmt w:val="bullet"/>
      <w:lvlText w:val=""/>
      <w:lvlJc w:val="left"/>
      <w:pPr>
        <w:ind w:left="142" w:hanging="360"/>
      </w:pPr>
      <w:rPr>
        <w:rFonts w:ascii="Symbol" w:hAnsi="Symbol" w:hint="default"/>
      </w:rPr>
    </w:lvl>
    <w:lvl w:ilvl="1" w:tplc="08090003" w:tentative="1">
      <w:start w:val="1"/>
      <w:numFmt w:val="bullet"/>
      <w:lvlText w:val="o"/>
      <w:lvlJc w:val="left"/>
      <w:pPr>
        <w:ind w:left="862" w:hanging="360"/>
      </w:pPr>
      <w:rPr>
        <w:rFonts w:ascii="Courier New" w:hAnsi="Courier New" w:cs="Courier New" w:hint="default"/>
      </w:rPr>
    </w:lvl>
    <w:lvl w:ilvl="2" w:tplc="08090005" w:tentative="1">
      <w:start w:val="1"/>
      <w:numFmt w:val="bullet"/>
      <w:lvlText w:val=""/>
      <w:lvlJc w:val="left"/>
      <w:pPr>
        <w:ind w:left="1582" w:hanging="360"/>
      </w:pPr>
      <w:rPr>
        <w:rFonts w:ascii="Wingdings" w:hAnsi="Wingdings" w:hint="default"/>
      </w:rPr>
    </w:lvl>
    <w:lvl w:ilvl="3" w:tplc="08090001" w:tentative="1">
      <w:start w:val="1"/>
      <w:numFmt w:val="bullet"/>
      <w:lvlText w:val=""/>
      <w:lvlJc w:val="left"/>
      <w:pPr>
        <w:ind w:left="2302" w:hanging="360"/>
      </w:pPr>
      <w:rPr>
        <w:rFonts w:ascii="Symbol" w:hAnsi="Symbol" w:hint="default"/>
      </w:rPr>
    </w:lvl>
    <w:lvl w:ilvl="4" w:tplc="08090003" w:tentative="1">
      <w:start w:val="1"/>
      <w:numFmt w:val="bullet"/>
      <w:lvlText w:val="o"/>
      <w:lvlJc w:val="left"/>
      <w:pPr>
        <w:ind w:left="3022" w:hanging="360"/>
      </w:pPr>
      <w:rPr>
        <w:rFonts w:ascii="Courier New" w:hAnsi="Courier New" w:cs="Courier New" w:hint="default"/>
      </w:rPr>
    </w:lvl>
    <w:lvl w:ilvl="5" w:tplc="08090005" w:tentative="1">
      <w:start w:val="1"/>
      <w:numFmt w:val="bullet"/>
      <w:lvlText w:val=""/>
      <w:lvlJc w:val="left"/>
      <w:pPr>
        <w:ind w:left="3742" w:hanging="360"/>
      </w:pPr>
      <w:rPr>
        <w:rFonts w:ascii="Wingdings" w:hAnsi="Wingdings" w:hint="default"/>
      </w:rPr>
    </w:lvl>
    <w:lvl w:ilvl="6" w:tplc="08090001" w:tentative="1">
      <w:start w:val="1"/>
      <w:numFmt w:val="bullet"/>
      <w:lvlText w:val=""/>
      <w:lvlJc w:val="left"/>
      <w:pPr>
        <w:ind w:left="4462" w:hanging="360"/>
      </w:pPr>
      <w:rPr>
        <w:rFonts w:ascii="Symbol" w:hAnsi="Symbol" w:hint="default"/>
      </w:rPr>
    </w:lvl>
    <w:lvl w:ilvl="7" w:tplc="08090003" w:tentative="1">
      <w:start w:val="1"/>
      <w:numFmt w:val="bullet"/>
      <w:lvlText w:val="o"/>
      <w:lvlJc w:val="left"/>
      <w:pPr>
        <w:ind w:left="5182" w:hanging="360"/>
      </w:pPr>
      <w:rPr>
        <w:rFonts w:ascii="Courier New" w:hAnsi="Courier New" w:cs="Courier New" w:hint="default"/>
      </w:rPr>
    </w:lvl>
    <w:lvl w:ilvl="8" w:tplc="08090005" w:tentative="1">
      <w:start w:val="1"/>
      <w:numFmt w:val="bullet"/>
      <w:lvlText w:val=""/>
      <w:lvlJc w:val="left"/>
      <w:pPr>
        <w:ind w:left="5902" w:hanging="360"/>
      </w:pPr>
      <w:rPr>
        <w:rFonts w:ascii="Wingdings" w:hAnsi="Wingdings" w:hint="default"/>
      </w:rPr>
    </w:lvl>
  </w:abstractNum>
  <w:abstractNum w:abstractNumId="12">
    <w:nsid w:val="2B285D71"/>
    <w:multiLevelType w:val="hybridMultilevel"/>
    <w:tmpl w:val="13A62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4516F9"/>
    <w:multiLevelType w:val="hybridMultilevel"/>
    <w:tmpl w:val="F828A38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nsid w:val="4D70162C"/>
    <w:multiLevelType w:val="hybridMultilevel"/>
    <w:tmpl w:val="E8C6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500288"/>
    <w:multiLevelType w:val="hybridMultilevel"/>
    <w:tmpl w:val="9B78E9C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nsid w:val="4FB339A8"/>
    <w:multiLevelType w:val="hybridMultilevel"/>
    <w:tmpl w:val="53E2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E42CB8"/>
    <w:multiLevelType w:val="hybridMultilevel"/>
    <w:tmpl w:val="A98252A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nsid w:val="559F0CA7"/>
    <w:multiLevelType w:val="hybridMultilevel"/>
    <w:tmpl w:val="18E6B7F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9">
    <w:nsid w:val="56677963"/>
    <w:multiLevelType w:val="hybridMultilevel"/>
    <w:tmpl w:val="31CA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8432D1"/>
    <w:multiLevelType w:val="hybridMultilevel"/>
    <w:tmpl w:val="66A0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814F59"/>
    <w:multiLevelType w:val="hybridMultilevel"/>
    <w:tmpl w:val="7F66E2F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nsid w:val="730E305A"/>
    <w:multiLevelType w:val="hybridMultilevel"/>
    <w:tmpl w:val="3B4E7D2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3">
    <w:nsid w:val="78FA69F1"/>
    <w:multiLevelType w:val="hybridMultilevel"/>
    <w:tmpl w:val="0F0C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3"/>
  </w:num>
  <w:num w:numId="4">
    <w:abstractNumId w:val="23"/>
  </w:num>
  <w:num w:numId="5">
    <w:abstractNumId w:val="8"/>
  </w:num>
  <w:num w:numId="6">
    <w:abstractNumId w:val="14"/>
  </w:num>
  <w:num w:numId="7">
    <w:abstractNumId w:val="12"/>
  </w:num>
  <w:num w:numId="8">
    <w:abstractNumId w:val="1"/>
  </w:num>
  <w:num w:numId="9">
    <w:abstractNumId w:val="10"/>
  </w:num>
  <w:num w:numId="10">
    <w:abstractNumId w:val="5"/>
  </w:num>
  <w:num w:numId="11">
    <w:abstractNumId w:val="20"/>
  </w:num>
  <w:num w:numId="12">
    <w:abstractNumId w:val="16"/>
  </w:num>
  <w:num w:numId="13">
    <w:abstractNumId w:val="6"/>
  </w:num>
  <w:num w:numId="14">
    <w:abstractNumId w:val="18"/>
  </w:num>
  <w:num w:numId="15">
    <w:abstractNumId w:val="3"/>
  </w:num>
  <w:num w:numId="16">
    <w:abstractNumId w:val="0"/>
  </w:num>
  <w:num w:numId="17">
    <w:abstractNumId w:val="4"/>
  </w:num>
  <w:num w:numId="18">
    <w:abstractNumId w:val="15"/>
  </w:num>
  <w:num w:numId="19">
    <w:abstractNumId w:val="7"/>
  </w:num>
  <w:num w:numId="20">
    <w:abstractNumId w:val="2"/>
  </w:num>
  <w:num w:numId="21">
    <w:abstractNumId w:val="17"/>
  </w:num>
  <w:num w:numId="22">
    <w:abstractNumId w:val="9"/>
  </w:num>
  <w:num w:numId="23">
    <w:abstractNumId w:val="19"/>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
  <w:rsids>
    <w:rsidRoot w:val="00A077A2"/>
    <w:rsid w:val="00000284"/>
    <w:rsid w:val="000325DC"/>
    <w:rsid w:val="000D7D74"/>
    <w:rsid w:val="000E1911"/>
    <w:rsid w:val="000F40EC"/>
    <w:rsid w:val="00123B67"/>
    <w:rsid w:val="001526E7"/>
    <w:rsid w:val="001D674D"/>
    <w:rsid w:val="001F200B"/>
    <w:rsid w:val="00206B4F"/>
    <w:rsid w:val="002223ED"/>
    <w:rsid w:val="002748F2"/>
    <w:rsid w:val="002B3E62"/>
    <w:rsid w:val="003B6CFE"/>
    <w:rsid w:val="003C067D"/>
    <w:rsid w:val="00430C73"/>
    <w:rsid w:val="004322BD"/>
    <w:rsid w:val="004403A6"/>
    <w:rsid w:val="00455CB3"/>
    <w:rsid w:val="00481D1C"/>
    <w:rsid w:val="0049694A"/>
    <w:rsid w:val="004A45C3"/>
    <w:rsid w:val="005146F5"/>
    <w:rsid w:val="0056165E"/>
    <w:rsid w:val="005F567D"/>
    <w:rsid w:val="006048BA"/>
    <w:rsid w:val="00651423"/>
    <w:rsid w:val="00725003"/>
    <w:rsid w:val="007277DE"/>
    <w:rsid w:val="00776BAD"/>
    <w:rsid w:val="00777168"/>
    <w:rsid w:val="00921889"/>
    <w:rsid w:val="00966AE9"/>
    <w:rsid w:val="00984656"/>
    <w:rsid w:val="00A04AE8"/>
    <w:rsid w:val="00A077A2"/>
    <w:rsid w:val="00A25709"/>
    <w:rsid w:val="00A96C65"/>
    <w:rsid w:val="00AD44FB"/>
    <w:rsid w:val="00B1085C"/>
    <w:rsid w:val="00B866C0"/>
    <w:rsid w:val="00BB6864"/>
    <w:rsid w:val="00BF6BFF"/>
    <w:rsid w:val="00C1049C"/>
    <w:rsid w:val="00C538A3"/>
    <w:rsid w:val="00C75326"/>
    <w:rsid w:val="00C91AFC"/>
    <w:rsid w:val="00CB5BC6"/>
    <w:rsid w:val="00CE1720"/>
    <w:rsid w:val="00DA0204"/>
    <w:rsid w:val="00E50527"/>
    <w:rsid w:val="00E87C8F"/>
    <w:rsid w:val="00F11F28"/>
    <w:rsid w:val="00F20E49"/>
    <w:rsid w:val="00FA7721"/>
    <w:rsid w:val="00FE022F"/>
    <w:rsid w:val="00FF7F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C8F"/>
    <w:pPr>
      <w:ind w:left="720"/>
      <w:contextualSpacing/>
    </w:pPr>
  </w:style>
  <w:style w:type="character" w:styleId="Hyperlink">
    <w:name w:val="Hyperlink"/>
    <w:basedOn w:val="DefaultParagraphFont"/>
    <w:uiPriority w:val="99"/>
    <w:unhideWhenUsed/>
    <w:rsid w:val="00481D1C"/>
    <w:rPr>
      <w:color w:val="0000FF" w:themeColor="hyperlink"/>
      <w:u w:val="single"/>
    </w:rPr>
  </w:style>
  <w:style w:type="paragraph" w:styleId="BalloonText">
    <w:name w:val="Balloon Text"/>
    <w:basedOn w:val="Normal"/>
    <w:link w:val="BalloonTextChar"/>
    <w:uiPriority w:val="99"/>
    <w:semiHidden/>
    <w:unhideWhenUsed/>
    <w:rsid w:val="00FA7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7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C8F"/>
    <w:pPr>
      <w:ind w:left="720"/>
      <w:contextualSpacing/>
    </w:pPr>
  </w:style>
  <w:style w:type="character" w:styleId="Hyperlink">
    <w:name w:val="Hyperlink"/>
    <w:basedOn w:val="DefaultParagraphFont"/>
    <w:uiPriority w:val="99"/>
    <w:unhideWhenUsed/>
    <w:rsid w:val="00481D1C"/>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gionalstudies.org/conferences/conference/challenges-for-the-new-cohesion-policy-in-2014-2020-an-academic-and-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izabeth.mitchell@regionalstudies.or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a.carl@regionalstudie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6A399-A0FF-4E34-8E79-A77C0410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REGIONAL STUDIES</vt:lpstr>
    </vt:vector>
  </TitlesOfParts>
  <Company>Microsoft</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STUDIES</dc:title>
  <dc:creator>John</dc:creator>
  <cp:lastModifiedBy>daniela</cp:lastModifiedBy>
  <cp:revision>5</cp:revision>
  <cp:lastPrinted>2014-09-01T15:11:00Z</cp:lastPrinted>
  <dcterms:created xsi:type="dcterms:W3CDTF">2014-09-01T15:02:00Z</dcterms:created>
  <dcterms:modified xsi:type="dcterms:W3CDTF">2014-09-01T16:13:00Z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2009-06-19T00:00:00Z</vt:filetime>
  </property>
  <property fmtid="{D5CDD505-2E9C-101B-9397-08002B2CF9AE}" pid="3" name="LastSaved">
    <vt:filetime>2012-11-21T00:00:00Z</vt:filetime>
  </property>
</Properties>
</file>