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C69F" w14:textId="77777777" w:rsidR="007C02A8" w:rsidRDefault="00D76A93" w:rsidP="001F119E">
      <w:pPr>
        <w:jc w:val="center"/>
      </w:pPr>
      <w:r>
        <w:t>LASG Business Meeting Minutes</w:t>
      </w:r>
    </w:p>
    <w:p w14:paraId="522095C1" w14:textId="77777777" w:rsidR="001F119E" w:rsidRDefault="001F119E" w:rsidP="001F119E">
      <w:pPr>
        <w:jc w:val="center"/>
      </w:pPr>
      <w:r>
        <w:t xml:space="preserve">Thursday, </w:t>
      </w:r>
      <w:r w:rsidR="009D3BF2">
        <w:t>3</w:t>
      </w:r>
      <w:r>
        <w:t>/</w:t>
      </w:r>
      <w:r w:rsidR="009D3BF2">
        <w:t>31</w:t>
      </w:r>
      <w:r>
        <w:t>, 7:1</w:t>
      </w:r>
      <w:r w:rsidR="004C33E3">
        <w:t>0</w:t>
      </w:r>
      <w:r>
        <w:t>-7:4</w:t>
      </w:r>
      <w:r w:rsidR="004C33E3">
        <w:t>0</w:t>
      </w:r>
      <w:r>
        <w:t xml:space="preserve"> pm</w:t>
      </w:r>
    </w:p>
    <w:p w14:paraId="471DFEB4" w14:textId="77777777" w:rsidR="001F119E" w:rsidRDefault="004C33E3" w:rsidP="001F119E">
      <w:pPr>
        <w:jc w:val="center"/>
      </w:pPr>
      <w:r>
        <w:t>Hilton</w:t>
      </w:r>
      <w:r w:rsidR="00B478F8">
        <w:t xml:space="preserve">, </w:t>
      </w:r>
      <w:r w:rsidR="009D3BF2">
        <w:t>San Francisco</w:t>
      </w:r>
    </w:p>
    <w:p w14:paraId="64C12750" w14:textId="77777777" w:rsidR="001F119E" w:rsidRDefault="001F119E" w:rsidP="001F119E">
      <w:pPr>
        <w:jc w:val="center"/>
      </w:pPr>
    </w:p>
    <w:p w14:paraId="610E25CA" w14:textId="77777777" w:rsidR="00D76A93" w:rsidRDefault="00D76A93" w:rsidP="00D76A93">
      <w:r>
        <w:t>LASG Officers in Attendance:</w:t>
      </w:r>
    </w:p>
    <w:p w14:paraId="76CCAEA4" w14:textId="77777777" w:rsidR="00D76A93" w:rsidRDefault="00D76A93" w:rsidP="00D76A93">
      <w:r>
        <w:t>Claudia Radel, Chair</w:t>
      </w:r>
    </w:p>
    <w:p w14:paraId="2554B7E0" w14:textId="77777777" w:rsidR="00D76A93" w:rsidRDefault="00D76A93" w:rsidP="00D76A93">
      <w:r>
        <w:t>John Finn, Vice Chair</w:t>
      </w:r>
    </w:p>
    <w:p w14:paraId="3E1ECE3D" w14:textId="77777777" w:rsidR="00D76A93" w:rsidRDefault="00D76A93" w:rsidP="00D76A93">
      <w:r>
        <w:t>Ben Tillman, Secretary-Treasurer</w:t>
      </w:r>
    </w:p>
    <w:p w14:paraId="3EDAC709" w14:textId="77777777" w:rsidR="00D76A93" w:rsidRDefault="00D76A93" w:rsidP="00D76A93"/>
    <w:p w14:paraId="6A128C0B" w14:textId="77777777" w:rsidR="007333E4" w:rsidRDefault="007333E4" w:rsidP="001F119E">
      <w:pPr>
        <w:pStyle w:val="ListParagraph"/>
        <w:numPr>
          <w:ilvl w:val="0"/>
          <w:numId w:val="1"/>
        </w:numPr>
      </w:pPr>
      <w:r>
        <w:t>Chair’s Report</w:t>
      </w:r>
      <w:r w:rsidR="00D76A93">
        <w:t xml:space="preserve"> (Radel)</w:t>
      </w:r>
    </w:p>
    <w:p w14:paraId="649371CA" w14:textId="77777777" w:rsidR="0071343A" w:rsidRDefault="00D76A93" w:rsidP="00D76A93">
      <w:pPr>
        <w:pStyle w:val="ListParagraph"/>
        <w:numPr>
          <w:ilvl w:val="1"/>
          <w:numId w:val="1"/>
        </w:numPr>
      </w:pPr>
      <w:r w:rsidRPr="00D76A93">
        <w:t xml:space="preserve">Minutes from the 2015 Chicago meeting were approved </w:t>
      </w:r>
      <w:r>
        <w:t xml:space="preserve">by the floor. </w:t>
      </w:r>
    </w:p>
    <w:p w14:paraId="07812C86" w14:textId="77777777" w:rsidR="007333E4" w:rsidRDefault="00D76A93" w:rsidP="007333E4">
      <w:pPr>
        <w:pStyle w:val="ListParagraph"/>
        <w:numPr>
          <w:ilvl w:val="1"/>
          <w:numId w:val="1"/>
        </w:numPr>
      </w:pPr>
      <w:r>
        <w:t>Radel stated that to save time</w:t>
      </w:r>
      <w:r w:rsidR="00EA7851">
        <w:t xml:space="preserve"> for the officer elections</w:t>
      </w:r>
      <w:r>
        <w:t xml:space="preserve"> </w:t>
      </w:r>
      <w:r w:rsidR="00030215">
        <w:t>a</w:t>
      </w:r>
      <w:r w:rsidR="007333E4">
        <w:t xml:space="preserve">nnouncements from </w:t>
      </w:r>
      <w:r>
        <w:t xml:space="preserve">the </w:t>
      </w:r>
      <w:r w:rsidR="007333E4">
        <w:t>AAG chairs meeting</w:t>
      </w:r>
      <w:r>
        <w:t xml:space="preserve"> would be emailed to the group.</w:t>
      </w:r>
    </w:p>
    <w:p w14:paraId="0195D7DE" w14:textId="77777777" w:rsidR="006137E6" w:rsidRDefault="006137E6" w:rsidP="007333E4">
      <w:pPr>
        <w:pStyle w:val="ListParagraph"/>
        <w:numPr>
          <w:ilvl w:val="1"/>
          <w:numId w:val="1"/>
        </w:numPr>
      </w:pPr>
      <w:r>
        <w:t>Updates re LASG at AAG 201</w:t>
      </w:r>
      <w:r w:rsidR="009D3BF2">
        <w:t>6</w:t>
      </w:r>
    </w:p>
    <w:p w14:paraId="6C870230" w14:textId="77777777" w:rsidR="004C33E3" w:rsidRDefault="004C33E3" w:rsidP="006137E6">
      <w:pPr>
        <w:pStyle w:val="ListParagraph"/>
        <w:numPr>
          <w:ilvl w:val="2"/>
          <w:numId w:val="1"/>
        </w:numPr>
      </w:pPr>
      <w:r>
        <w:t>Official events</w:t>
      </w:r>
    </w:p>
    <w:p w14:paraId="126BE187" w14:textId="77777777" w:rsidR="004C33E3" w:rsidRDefault="00D76A93" w:rsidP="00EA7851">
      <w:pPr>
        <w:pStyle w:val="ListParagraph"/>
        <w:numPr>
          <w:ilvl w:val="3"/>
          <w:numId w:val="1"/>
        </w:numPr>
      </w:pPr>
      <w:r>
        <w:t>LASG/CLAG p</w:t>
      </w:r>
      <w:r w:rsidR="004C33E3">
        <w:t>arty</w:t>
      </w:r>
      <w:r>
        <w:t xml:space="preserve"> announced (held after the business meeting) </w:t>
      </w:r>
    </w:p>
    <w:p w14:paraId="4FB7C13F" w14:textId="4A437A4C" w:rsidR="004C33E3" w:rsidRDefault="00D76A93" w:rsidP="00EA7851">
      <w:pPr>
        <w:pStyle w:val="ListParagraph"/>
        <w:numPr>
          <w:ilvl w:val="2"/>
          <w:numId w:val="1"/>
        </w:numPr>
      </w:pPr>
      <w:r>
        <w:t>There were 20 LASG s</w:t>
      </w:r>
      <w:r w:rsidR="006137E6">
        <w:t>ponsored sessions</w:t>
      </w:r>
      <w:r>
        <w:t xml:space="preserve"> in San Francisco. LASG chair proposed that the specialty group consider being more proactive in sponsoring sessions next year (i.e. </w:t>
      </w:r>
      <w:r w:rsidR="006F484E">
        <w:t xml:space="preserve">soliciting </w:t>
      </w:r>
      <w:r>
        <w:t>sponsored sessions</w:t>
      </w:r>
      <w:r w:rsidR="006F484E">
        <w:t xml:space="preserve"> and planning some directly ourselves</w:t>
      </w:r>
      <w:r>
        <w:t>)</w:t>
      </w:r>
    </w:p>
    <w:p w14:paraId="1B4864D1" w14:textId="77777777" w:rsidR="00DD26FD" w:rsidRDefault="00DD26FD" w:rsidP="00DD26FD">
      <w:pPr>
        <w:ind w:left="1980"/>
      </w:pPr>
    </w:p>
    <w:p w14:paraId="62AE9472" w14:textId="77777777" w:rsidR="00DD26FD" w:rsidRDefault="00891E14" w:rsidP="00DD26FD">
      <w:pPr>
        <w:pStyle w:val="ListParagraph"/>
        <w:numPr>
          <w:ilvl w:val="0"/>
          <w:numId w:val="1"/>
        </w:numPr>
      </w:pPr>
      <w:r>
        <w:t xml:space="preserve">Graduate </w:t>
      </w:r>
      <w:r w:rsidR="00DD26FD">
        <w:t>S</w:t>
      </w:r>
      <w:r>
        <w:t xml:space="preserve">tudent </w:t>
      </w:r>
      <w:r w:rsidR="00DD26FD">
        <w:t>Officers’ R</w:t>
      </w:r>
      <w:r>
        <w:t>eport</w:t>
      </w:r>
      <w:r w:rsidR="00DD26FD">
        <w:t xml:space="preserve"> (Rudow)</w:t>
      </w:r>
      <w:r>
        <w:t>.</w:t>
      </w:r>
    </w:p>
    <w:p w14:paraId="577D797C" w14:textId="1447833E" w:rsidR="00891E14" w:rsidRDefault="00891E14" w:rsidP="00DD26FD">
      <w:pPr>
        <w:pStyle w:val="ListParagraph"/>
        <w:numPr>
          <w:ilvl w:val="1"/>
          <w:numId w:val="1"/>
        </w:numPr>
      </w:pPr>
      <w:r>
        <w:t>Graduate student officers thanked the graduate student me</w:t>
      </w:r>
      <w:r w:rsidR="00E55DD1">
        <w:t xml:space="preserve">mbers for their suggestions on </w:t>
      </w:r>
      <w:r>
        <w:t>AAG sessions</w:t>
      </w:r>
      <w:r w:rsidR="00E55DD1">
        <w:t xml:space="preserve"> benefitting graduate students</w:t>
      </w:r>
      <w:r>
        <w:t xml:space="preserve"> and asked for continued feedback. </w:t>
      </w:r>
    </w:p>
    <w:p w14:paraId="5BCFCEAF" w14:textId="77777777" w:rsidR="00DD26FD" w:rsidRDefault="00DD26FD" w:rsidP="00DD26FD">
      <w:pPr>
        <w:ind w:left="1080"/>
      </w:pPr>
    </w:p>
    <w:p w14:paraId="03AA5D99" w14:textId="77777777" w:rsidR="007333E4" w:rsidRDefault="00EA7851" w:rsidP="004C33E3">
      <w:pPr>
        <w:pStyle w:val="ListParagraph"/>
        <w:numPr>
          <w:ilvl w:val="0"/>
          <w:numId w:val="1"/>
        </w:numPr>
      </w:pPr>
      <w:r>
        <w:t xml:space="preserve">LASG </w:t>
      </w:r>
      <w:r w:rsidR="00D37B7F">
        <w:t>Officer</w:t>
      </w:r>
      <w:r w:rsidR="004C33E3">
        <w:t xml:space="preserve"> Elections</w:t>
      </w:r>
    </w:p>
    <w:p w14:paraId="39D55800" w14:textId="77777777" w:rsidR="004C33E3" w:rsidRDefault="004C33E3" w:rsidP="004C33E3">
      <w:pPr>
        <w:pStyle w:val="ListParagraph"/>
        <w:numPr>
          <w:ilvl w:val="1"/>
          <w:numId w:val="1"/>
        </w:numPr>
      </w:pPr>
      <w:r>
        <w:t xml:space="preserve">Nominations </w:t>
      </w:r>
      <w:r w:rsidR="00EA7851">
        <w:t xml:space="preserve">were </w:t>
      </w:r>
      <w:r>
        <w:t xml:space="preserve">received in advance and </w:t>
      </w:r>
      <w:r w:rsidR="00EA7851">
        <w:t xml:space="preserve">there were </w:t>
      </w:r>
      <w:r>
        <w:t>nominations from the floor</w:t>
      </w:r>
      <w:r w:rsidR="00EA7851">
        <w:t>, followed by discussion and elections.</w:t>
      </w:r>
    </w:p>
    <w:p w14:paraId="489DD24A" w14:textId="08DBD8AB" w:rsidR="004C33E3" w:rsidRDefault="004C33E3" w:rsidP="006F484E">
      <w:pPr>
        <w:pStyle w:val="ListParagraph"/>
        <w:numPr>
          <w:ilvl w:val="1"/>
          <w:numId w:val="1"/>
        </w:numPr>
      </w:pPr>
      <w:r>
        <w:t xml:space="preserve">Elections: </w:t>
      </w:r>
      <w:r w:rsidR="00EA7851">
        <w:t xml:space="preserve">Johnny Finn </w:t>
      </w:r>
      <w:r w:rsidR="006F484E">
        <w:t>(</w:t>
      </w:r>
      <w:r w:rsidR="006F484E" w:rsidRPr="006F484E">
        <w:t>Christopher Newport Univ</w:t>
      </w:r>
      <w:r w:rsidR="006F484E">
        <w:t>ersity)</w:t>
      </w:r>
      <w:r w:rsidR="006F484E" w:rsidRPr="006F484E">
        <w:t xml:space="preserve"> </w:t>
      </w:r>
      <w:r w:rsidR="00EA7851">
        <w:t xml:space="preserve">was elected as </w:t>
      </w:r>
      <w:r>
        <w:t xml:space="preserve">Chair, </w:t>
      </w:r>
      <w:r w:rsidR="00EA7851">
        <w:t>Federica Bono</w:t>
      </w:r>
      <w:r w:rsidR="006F484E" w:rsidRPr="006F484E">
        <w:t xml:space="preserve"> </w:t>
      </w:r>
      <w:r w:rsidR="006F484E">
        <w:t>(</w:t>
      </w:r>
      <w:r w:rsidR="006F484E" w:rsidRPr="006F484E">
        <w:t>University of Leuven</w:t>
      </w:r>
      <w:r w:rsidR="006F484E">
        <w:t>)</w:t>
      </w:r>
      <w:r w:rsidR="00EA7851">
        <w:t xml:space="preserve"> as </w:t>
      </w:r>
      <w:r>
        <w:t xml:space="preserve">Vice-Chair, </w:t>
      </w:r>
      <w:r w:rsidR="00EA7851">
        <w:t xml:space="preserve">and </w:t>
      </w:r>
      <w:proofErr w:type="spellStart"/>
      <w:r w:rsidR="00EA7851">
        <w:t>D</w:t>
      </w:r>
      <w:r w:rsidR="00DD26FD">
        <w:t>e</w:t>
      </w:r>
      <w:r w:rsidR="00EA7851">
        <w:t>niel</w:t>
      </w:r>
      <w:r w:rsidR="006F484E">
        <w:t>le</w:t>
      </w:r>
      <w:proofErr w:type="spellEnd"/>
      <w:r w:rsidR="00EA7851">
        <w:t xml:space="preserve"> Perry as </w:t>
      </w:r>
      <w:r>
        <w:t>Secretary/Treasurer</w:t>
      </w:r>
      <w:r w:rsidR="006F484E" w:rsidRPr="006F484E">
        <w:t xml:space="preserve"> </w:t>
      </w:r>
      <w:r w:rsidR="006F484E">
        <w:t>(</w:t>
      </w:r>
      <w:r w:rsidR="006F484E" w:rsidRPr="006F484E">
        <w:t>Univ</w:t>
      </w:r>
      <w:r w:rsidR="006F484E">
        <w:t>ersity</w:t>
      </w:r>
      <w:r w:rsidR="006F484E" w:rsidRPr="006F484E">
        <w:t xml:space="preserve"> of Oregon</w:t>
      </w:r>
      <w:r w:rsidR="006F484E">
        <w:t>).</w:t>
      </w:r>
    </w:p>
    <w:p w14:paraId="29312E05" w14:textId="77777777" w:rsidR="00891E14" w:rsidRDefault="00891E14" w:rsidP="004C33E3"/>
    <w:p w14:paraId="5EBF2C70" w14:textId="77777777" w:rsidR="001F119E" w:rsidRDefault="001F119E" w:rsidP="001F119E">
      <w:pPr>
        <w:pStyle w:val="ListParagraph"/>
        <w:numPr>
          <w:ilvl w:val="0"/>
          <w:numId w:val="1"/>
        </w:numPr>
      </w:pPr>
      <w:r>
        <w:t>Vice-Chair’s Report on Student Awards</w:t>
      </w:r>
      <w:r w:rsidR="00EA7851">
        <w:t xml:space="preserve"> (Finn)</w:t>
      </w:r>
    </w:p>
    <w:p w14:paraId="6718AE7C" w14:textId="77777777" w:rsidR="00704942" w:rsidRDefault="00EA7851" w:rsidP="001F119E">
      <w:pPr>
        <w:pStyle w:val="ListParagraph"/>
        <w:numPr>
          <w:ilvl w:val="1"/>
          <w:numId w:val="1"/>
        </w:numPr>
      </w:pPr>
      <w:r>
        <w:t>Johnny Finn thanked award c</w:t>
      </w:r>
      <w:r w:rsidR="00704942">
        <w:t>ommittee</w:t>
      </w:r>
      <w:r w:rsidR="00D81DE7">
        <w:t>s</w:t>
      </w:r>
      <w:r>
        <w:t>. There were 19 proposals for the field study award this year, an increase due to the increased amount of the award.</w:t>
      </w:r>
    </w:p>
    <w:p w14:paraId="38EAB72B" w14:textId="77777777" w:rsidR="001F119E" w:rsidRDefault="001F119E" w:rsidP="001F119E">
      <w:pPr>
        <w:pStyle w:val="ListParagraph"/>
        <w:numPr>
          <w:ilvl w:val="1"/>
          <w:numId w:val="1"/>
        </w:numPr>
      </w:pPr>
      <w:r>
        <w:t>201</w:t>
      </w:r>
      <w:r w:rsidR="004C33E3">
        <w:t>6</w:t>
      </w:r>
      <w:r>
        <w:t xml:space="preserve"> Award Winners</w:t>
      </w:r>
    </w:p>
    <w:p w14:paraId="1F81CA95" w14:textId="77777777" w:rsidR="001F119E" w:rsidRDefault="001F119E" w:rsidP="001F119E">
      <w:pPr>
        <w:pStyle w:val="ListParagraph"/>
        <w:numPr>
          <w:ilvl w:val="2"/>
          <w:numId w:val="1"/>
        </w:numPr>
      </w:pPr>
      <w:r>
        <w:t>Field Study Awards</w:t>
      </w:r>
    </w:p>
    <w:p w14:paraId="5145876D" w14:textId="77777777" w:rsidR="00B91BC4" w:rsidRDefault="00B91BC4" w:rsidP="00B91BC4">
      <w:pPr>
        <w:pStyle w:val="ListParagraph"/>
        <w:numPr>
          <w:ilvl w:val="3"/>
          <w:numId w:val="1"/>
        </w:numPr>
      </w:pPr>
      <w:proofErr w:type="spellStart"/>
      <w:r>
        <w:t>Phd</w:t>
      </w:r>
      <w:proofErr w:type="spellEnd"/>
      <w:r>
        <w:t xml:space="preserve"> award: Laura </w:t>
      </w:r>
      <w:proofErr w:type="spellStart"/>
      <w:r>
        <w:t>Sauls</w:t>
      </w:r>
      <w:proofErr w:type="spellEnd"/>
      <w:r>
        <w:t xml:space="preserve"> </w:t>
      </w:r>
      <w:r w:rsidRPr="00B91BC4">
        <w:t xml:space="preserve">($1,000) and </w:t>
      </w:r>
      <w:r>
        <w:t xml:space="preserve">MA award: </w:t>
      </w:r>
      <w:proofErr w:type="spellStart"/>
      <w:r>
        <w:t>Ramzi</w:t>
      </w:r>
      <w:proofErr w:type="spellEnd"/>
      <w:r>
        <w:t xml:space="preserve"> </w:t>
      </w:r>
      <w:proofErr w:type="spellStart"/>
      <w:r>
        <w:t>Tubbeh</w:t>
      </w:r>
      <w:proofErr w:type="spellEnd"/>
      <w:r w:rsidRPr="00B91BC4">
        <w:t xml:space="preserve"> ($500).</w:t>
      </w:r>
    </w:p>
    <w:p w14:paraId="73693D82" w14:textId="77777777" w:rsidR="001F119E" w:rsidRDefault="001F119E" w:rsidP="001F119E">
      <w:pPr>
        <w:pStyle w:val="ListParagraph"/>
        <w:numPr>
          <w:ilvl w:val="2"/>
          <w:numId w:val="1"/>
        </w:numPr>
      </w:pPr>
      <w:r>
        <w:t>Paper Awards</w:t>
      </w:r>
    </w:p>
    <w:p w14:paraId="2769870F" w14:textId="77777777" w:rsidR="00884C38" w:rsidRDefault="00884C38" w:rsidP="00884C38">
      <w:pPr>
        <w:pStyle w:val="ListParagraph"/>
        <w:numPr>
          <w:ilvl w:val="3"/>
          <w:numId w:val="1"/>
        </w:numPr>
      </w:pPr>
      <w:proofErr w:type="spellStart"/>
      <w:r w:rsidRPr="00884C38">
        <w:t>Phd</w:t>
      </w:r>
      <w:proofErr w:type="spellEnd"/>
      <w:r w:rsidRPr="00884C38">
        <w:t xml:space="preserve"> award: Nathan Millington ($200); co-author award: Laura </w:t>
      </w:r>
      <w:proofErr w:type="spellStart"/>
      <w:r w:rsidRPr="00884C38">
        <w:t>Sauls</w:t>
      </w:r>
      <w:proofErr w:type="spellEnd"/>
      <w:r w:rsidRPr="00884C38">
        <w:t xml:space="preserve"> </w:t>
      </w:r>
      <w:r w:rsidR="00B91BC4">
        <w:t xml:space="preserve">($100). </w:t>
      </w:r>
      <w:r w:rsidRPr="00884C38">
        <w:t>There were no submissions for the MA</w:t>
      </w:r>
      <w:r w:rsidR="006F484E">
        <w:t>/MS</w:t>
      </w:r>
      <w:r w:rsidRPr="00884C38">
        <w:t xml:space="preserve"> paper award.</w:t>
      </w:r>
    </w:p>
    <w:p w14:paraId="166F1468" w14:textId="77777777" w:rsidR="009B7A20" w:rsidRDefault="009B7A20" w:rsidP="001F119E">
      <w:pPr>
        <w:pStyle w:val="ListParagraph"/>
        <w:numPr>
          <w:ilvl w:val="1"/>
          <w:numId w:val="1"/>
        </w:numPr>
      </w:pPr>
      <w:r>
        <w:t>Discussion of recent changes to LASG awards structures (increase in field award amounts, decrease in paper award amounts, linking to JLAG</w:t>
      </w:r>
      <w:r w:rsidR="006F484E">
        <w:t>)</w:t>
      </w:r>
      <w:r>
        <w:t xml:space="preserve"> </w:t>
      </w:r>
    </w:p>
    <w:p w14:paraId="3E6E97F9" w14:textId="2043EFFC" w:rsidR="009B7A20" w:rsidRDefault="009B7A20" w:rsidP="009B7A20">
      <w:pPr>
        <w:pStyle w:val="ListParagraph"/>
        <w:numPr>
          <w:ilvl w:val="2"/>
          <w:numId w:val="1"/>
        </w:numPr>
      </w:pPr>
      <w:r w:rsidRPr="009B7A20">
        <w:t xml:space="preserve">The </w:t>
      </w:r>
      <w:r w:rsidR="006F484E">
        <w:t xml:space="preserve">winning </w:t>
      </w:r>
      <w:r w:rsidRPr="009B7A20">
        <w:t xml:space="preserve">paper will now be </w:t>
      </w:r>
      <w:r w:rsidR="006F484E">
        <w:t xml:space="preserve">optionally </w:t>
      </w:r>
      <w:r w:rsidRPr="009B7A20">
        <w:t>submitted to JLAG for publication review (not a guarantee of acceptance for publication)</w:t>
      </w:r>
    </w:p>
    <w:p w14:paraId="33C8FC28" w14:textId="77777777" w:rsidR="001F119E" w:rsidRDefault="000918F6" w:rsidP="009B7A20">
      <w:pPr>
        <w:pStyle w:val="ListParagraph"/>
        <w:numPr>
          <w:ilvl w:val="2"/>
          <w:numId w:val="1"/>
        </w:numPr>
      </w:pPr>
      <w:r>
        <w:t xml:space="preserve">Revisiting </w:t>
      </w:r>
      <w:r w:rsidR="001F119E">
        <w:t>the multi-authored paper award category</w:t>
      </w:r>
      <w:r w:rsidR="009B7A20">
        <w:t xml:space="preserve"> (three total submissions across two years)</w:t>
      </w:r>
      <w:r w:rsidR="006F484E">
        <w:t>:</w:t>
      </w:r>
    </w:p>
    <w:p w14:paraId="407E560F" w14:textId="695A6CB6" w:rsidR="001F119E" w:rsidRDefault="00A749E1" w:rsidP="009B7A20">
      <w:pPr>
        <w:pStyle w:val="ListParagraph"/>
        <w:numPr>
          <w:ilvl w:val="3"/>
          <w:numId w:val="1"/>
        </w:numPr>
      </w:pPr>
      <w:r>
        <w:lastRenderedPageBreak/>
        <w:t xml:space="preserve">Finn </w:t>
      </w:r>
      <w:r w:rsidR="006F484E">
        <w:t>r</w:t>
      </w:r>
      <w:r w:rsidR="004C33E3">
        <w:t>eview</w:t>
      </w:r>
      <w:r>
        <w:t>ed award</w:t>
      </w:r>
      <w:r w:rsidR="001F119E">
        <w:t xml:space="preserve"> </w:t>
      </w:r>
      <w:r>
        <w:t xml:space="preserve">submissions for </w:t>
      </w:r>
      <w:r w:rsidR="001F119E">
        <w:t xml:space="preserve">this year </w:t>
      </w:r>
      <w:r w:rsidR="004C33E3">
        <w:t>and the previous year</w:t>
      </w:r>
      <w:r>
        <w:t xml:space="preserve"> and recommended future elimination of the </w:t>
      </w:r>
      <w:r w:rsidR="009B7A20">
        <w:t xml:space="preserve">multi-authored paper </w:t>
      </w:r>
      <w:r>
        <w:t>award due lack of submissions and lack of funds. LASG membership voted to continue the award one more year</w:t>
      </w:r>
      <w:r w:rsidR="009B7A20">
        <w:t xml:space="preserve"> to collect a third year of data</w:t>
      </w:r>
      <w:r>
        <w:t xml:space="preserve"> and </w:t>
      </w:r>
      <w:r w:rsidR="006F484E">
        <w:t xml:space="preserve">to </w:t>
      </w:r>
      <w:r>
        <w:t>revisit the issue at the next business meeting.</w:t>
      </w:r>
    </w:p>
    <w:p w14:paraId="49B85AE2" w14:textId="77777777" w:rsidR="004C33E3" w:rsidRDefault="009B7A20" w:rsidP="009B7A20">
      <w:pPr>
        <w:pStyle w:val="ListParagraph"/>
        <w:numPr>
          <w:ilvl w:val="2"/>
          <w:numId w:val="1"/>
        </w:numPr>
      </w:pPr>
      <w:r>
        <w:t xml:space="preserve">Finn discussed the </w:t>
      </w:r>
      <w:r w:rsidRPr="009B7A20">
        <w:t>viability of MA/MS paper award (this year we received ZERO submissions, last year we received two).</w:t>
      </w:r>
    </w:p>
    <w:p w14:paraId="40837D59" w14:textId="77777777" w:rsidR="006137E6" w:rsidRDefault="009B7A20" w:rsidP="006137E6">
      <w:pPr>
        <w:pStyle w:val="ListParagraph"/>
        <w:numPr>
          <w:ilvl w:val="1"/>
          <w:numId w:val="1"/>
        </w:numPr>
      </w:pPr>
      <w:r>
        <w:t>Finn announced the c</w:t>
      </w:r>
      <w:r w:rsidR="004C33E3">
        <w:t>ontinued n</w:t>
      </w:r>
      <w:r w:rsidR="006137E6">
        <w:t>eed for faculty to encourage students to submit</w:t>
      </w:r>
      <w:r w:rsidR="004C33E3">
        <w:t>, especially for paper award</w:t>
      </w:r>
    </w:p>
    <w:p w14:paraId="0F6C92BB" w14:textId="77777777" w:rsidR="004C33E3" w:rsidRDefault="004C33E3" w:rsidP="004C33E3">
      <w:pPr>
        <w:ind w:left="360"/>
      </w:pPr>
    </w:p>
    <w:p w14:paraId="5345C9C7" w14:textId="77777777" w:rsidR="001F119E" w:rsidRDefault="001F119E" w:rsidP="001F119E">
      <w:pPr>
        <w:pStyle w:val="ListParagraph"/>
        <w:numPr>
          <w:ilvl w:val="0"/>
          <w:numId w:val="1"/>
        </w:numPr>
      </w:pPr>
      <w:r>
        <w:t>Secretary/Treasurer’s Report</w:t>
      </w:r>
    </w:p>
    <w:p w14:paraId="375AB9D3" w14:textId="77777777" w:rsidR="00B91BC4" w:rsidRPr="00B91BC4" w:rsidRDefault="00B91BC4" w:rsidP="00B91BC4">
      <w:pPr>
        <w:pStyle w:val="ListParagraph"/>
        <w:numPr>
          <w:ilvl w:val="1"/>
          <w:numId w:val="1"/>
        </w:numPr>
      </w:pPr>
      <w:r w:rsidRPr="00B91BC4">
        <w:t>Membership</w:t>
      </w:r>
    </w:p>
    <w:p w14:paraId="2E97A806" w14:textId="77777777" w:rsidR="009A3648" w:rsidRDefault="00B91BC4" w:rsidP="00B91BC4">
      <w:pPr>
        <w:pStyle w:val="ListParagraph"/>
        <w:numPr>
          <w:ilvl w:val="2"/>
          <w:numId w:val="1"/>
        </w:numPr>
      </w:pPr>
      <w:r>
        <w:t>3/31/15: 474 members total (201 students)</w:t>
      </w:r>
    </w:p>
    <w:p w14:paraId="0B15B5E4" w14:textId="77777777" w:rsidR="00B91BC4" w:rsidRDefault="0019760D" w:rsidP="00B91BC4">
      <w:pPr>
        <w:pStyle w:val="ListParagraph"/>
        <w:numPr>
          <w:ilvl w:val="2"/>
          <w:numId w:val="1"/>
        </w:numPr>
      </w:pPr>
      <w:r>
        <w:t>2/29</w:t>
      </w:r>
      <w:r w:rsidR="00B91BC4">
        <w:t>/16: 457 members total (196 students)</w:t>
      </w:r>
    </w:p>
    <w:p w14:paraId="5AEF98C9" w14:textId="77777777" w:rsidR="0019760D" w:rsidRDefault="0019760D" w:rsidP="0019760D">
      <w:pPr>
        <w:pStyle w:val="ListParagraph"/>
        <w:numPr>
          <w:ilvl w:val="2"/>
          <w:numId w:val="1"/>
        </w:numPr>
      </w:pPr>
      <w:r w:rsidRPr="0019760D">
        <w:t>There are 50 non-student members and 9 student members located in Latin America.</w:t>
      </w:r>
    </w:p>
    <w:p w14:paraId="34C53043" w14:textId="4D097DF9" w:rsidR="00D37B7F" w:rsidRDefault="006F484E" w:rsidP="00D37B7F">
      <w:pPr>
        <w:pStyle w:val="ListParagraph"/>
        <w:numPr>
          <w:ilvl w:val="1"/>
          <w:numId w:val="1"/>
        </w:numPr>
      </w:pPr>
      <w:r>
        <w:t>Budget</w:t>
      </w:r>
    </w:p>
    <w:p w14:paraId="732E5FDC" w14:textId="77777777" w:rsidR="00DD26FD" w:rsidRDefault="00DD26FD" w:rsidP="00B91BC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5206492" w14:textId="77777777" w:rsidR="00DD26FD" w:rsidRDefault="00DD26FD" w:rsidP="00B91BC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6BF135F" w14:textId="77777777" w:rsidR="00DD26FD" w:rsidRDefault="00DD26FD" w:rsidP="00B91BC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0BD93AA2" w14:textId="77777777" w:rsidR="00B91BC4" w:rsidRPr="00B91BC4" w:rsidRDefault="00B91BC4" w:rsidP="00B91BC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B91BC4">
        <w:rPr>
          <w:rFonts w:ascii="Times New Roman" w:hAnsi="Times New Roman" w:cs="Times New Roman"/>
          <w:color w:val="000000" w:themeColor="text1"/>
          <w:sz w:val="28"/>
        </w:rPr>
        <w:t>Latin America Specialty Group</w:t>
      </w:r>
    </w:p>
    <w:p w14:paraId="27AB067C" w14:textId="77777777" w:rsidR="00B91BC4" w:rsidRPr="00B91BC4" w:rsidRDefault="00B91BC4" w:rsidP="00B91BC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91BC4">
        <w:rPr>
          <w:rFonts w:ascii="Times New Roman" w:hAnsi="Times New Roman" w:cs="Times New Roman"/>
          <w:color w:val="000000" w:themeColor="text1"/>
          <w:sz w:val="28"/>
        </w:rPr>
        <w:t>Secretary/Treasurer Report, AAG 2016</w:t>
      </w:r>
    </w:p>
    <w:p w14:paraId="67248E46" w14:textId="77777777" w:rsidR="00B91BC4" w:rsidRPr="00B91BC4" w:rsidRDefault="00B91BC4" w:rsidP="00B91BC4"/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1055"/>
        <w:gridCol w:w="3944"/>
        <w:gridCol w:w="1524"/>
        <w:gridCol w:w="1588"/>
        <w:gridCol w:w="1201"/>
      </w:tblGrid>
      <w:tr w:rsidR="00B91BC4" w:rsidRPr="00B91BC4" w14:paraId="0B14B592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FB5C" w14:textId="77777777" w:rsidR="00B91BC4" w:rsidRPr="00B91BC4" w:rsidRDefault="00B91BC4" w:rsidP="00B91BC4">
            <w:pPr>
              <w:rPr>
                <w:u w:val="single"/>
              </w:rPr>
            </w:pPr>
            <w:r w:rsidRPr="00B91BC4">
              <w:rPr>
                <w:u w:val="single"/>
              </w:rPr>
              <w:t>Date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96D" w14:textId="77777777" w:rsidR="00B91BC4" w:rsidRPr="00B91BC4" w:rsidRDefault="00B91BC4" w:rsidP="00B91BC4">
            <w:pPr>
              <w:rPr>
                <w:u w:val="single"/>
              </w:rPr>
            </w:pPr>
            <w:r w:rsidRPr="00B91BC4">
              <w:rPr>
                <w:u w:val="single"/>
              </w:rPr>
              <w:t>Description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C7E" w14:textId="77777777" w:rsidR="00B91BC4" w:rsidRPr="00B91BC4" w:rsidRDefault="00B91BC4" w:rsidP="00B91BC4">
            <w:pPr>
              <w:rPr>
                <w:u w:val="single"/>
              </w:rPr>
            </w:pPr>
            <w:r w:rsidRPr="00B91BC4">
              <w:rPr>
                <w:u w:val="single"/>
              </w:rPr>
              <w:t xml:space="preserve"> Receipts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788" w14:textId="77777777" w:rsidR="00B91BC4" w:rsidRPr="00B91BC4" w:rsidRDefault="00B91BC4" w:rsidP="00B91BC4">
            <w:pPr>
              <w:rPr>
                <w:u w:val="single"/>
              </w:rPr>
            </w:pPr>
            <w:r w:rsidRPr="00B91BC4">
              <w:rPr>
                <w:u w:val="single"/>
              </w:rPr>
              <w:t>Disbursements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C9D" w14:textId="77777777" w:rsidR="00B91BC4" w:rsidRPr="00B91BC4" w:rsidRDefault="00B91BC4" w:rsidP="00B91BC4">
            <w:pPr>
              <w:rPr>
                <w:u w:val="single"/>
              </w:rPr>
            </w:pPr>
            <w:r w:rsidRPr="00B91BC4">
              <w:rPr>
                <w:u w:val="single"/>
              </w:rPr>
              <w:t xml:space="preserve"> Balance </w:t>
            </w:r>
          </w:p>
        </w:tc>
      </w:tr>
      <w:tr w:rsidR="00B91BC4" w:rsidRPr="00B91BC4" w14:paraId="2314FC0A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00C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>8/31/14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411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>Balance forward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37F" w14:textId="77777777" w:rsidR="00B91BC4" w:rsidRPr="00B91BC4" w:rsidRDefault="00B91BC4" w:rsidP="00B91BC4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861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D186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 xml:space="preserve">       $4,794.78</w:t>
            </w:r>
          </w:p>
        </w:tc>
      </w:tr>
      <w:tr w:rsidR="00B91BC4" w:rsidRPr="00B91BC4" w14:paraId="04E599AE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6EF" w14:textId="77777777" w:rsidR="00B91BC4" w:rsidRPr="00B91BC4" w:rsidRDefault="00B91BC4" w:rsidP="00B91BC4">
            <w:r w:rsidRPr="00B91BC4">
              <w:t>9/30/14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DB8" w14:textId="77777777" w:rsidR="00B91BC4" w:rsidRPr="00B91BC4" w:rsidRDefault="00B91BC4" w:rsidP="00B91BC4">
            <w:r w:rsidRPr="00B91BC4">
              <w:t>Dues collected for Sept 2014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F18" w14:textId="77777777" w:rsidR="00B91BC4" w:rsidRPr="00B91BC4" w:rsidRDefault="00B91BC4" w:rsidP="00B91BC4">
            <w:r w:rsidRPr="00B91BC4">
              <w:t xml:space="preserve">            172.00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7A1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FE6" w14:textId="77777777" w:rsidR="00B91BC4" w:rsidRPr="00B91BC4" w:rsidRDefault="00B91BC4" w:rsidP="00B91BC4">
            <w:r w:rsidRPr="00B91BC4">
              <w:t xml:space="preserve">    4,966.78 </w:t>
            </w:r>
          </w:p>
        </w:tc>
      </w:tr>
      <w:tr w:rsidR="00B91BC4" w:rsidRPr="00B91BC4" w14:paraId="0799AFC0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F35" w14:textId="77777777" w:rsidR="00B91BC4" w:rsidRPr="00B91BC4" w:rsidRDefault="00B91BC4" w:rsidP="00B91BC4">
            <w:r w:rsidRPr="00B91BC4">
              <w:t>10/31/14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A88" w14:textId="77777777" w:rsidR="00B91BC4" w:rsidRPr="00B91BC4" w:rsidRDefault="00B91BC4" w:rsidP="00B91BC4">
            <w:r w:rsidRPr="00B91BC4">
              <w:t>Dues collected for Oct 2014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AFF" w14:textId="77777777" w:rsidR="00B91BC4" w:rsidRPr="00B91BC4" w:rsidRDefault="00B91BC4" w:rsidP="00B91BC4">
            <w:r w:rsidRPr="00B91BC4">
              <w:t xml:space="preserve">            442.00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F70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D9E" w14:textId="77777777" w:rsidR="00B91BC4" w:rsidRPr="00B91BC4" w:rsidRDefault="00B91BC4" w:rsidP="00B91BC4">
            <w:r w:rsidRPr="00B91BC4">
              <w:t xml:space="preserve">    5,408.78 </w:t>
            </w:r>
          </w:p>
        </w:tc>
      </w:tr>
      <w:tr w:rsidR="00B91BC4" w:rsidRPr="00B91BC4" w14:paraId="1D7D9E2D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B10" w14:textId="77777777" w:rsidR="00B91BC4" w:rsidRPr="00B91BC4" w:rsidRDefault="00B91BC4" w:rsidP="00B91BC4">
            <w:r w:rsidRPr="00B91BC4">
              <w:t>11/30/14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0523" w14:textId="77777777" w:rsidR="00B91BC4" w:rsidRPr="00B91BC4" w:rsidRDefault="00B91BC4" w:rsidP="00B91BC4">
            <w:r w:rsidRPr="00B91BC4">
              <w:t>Dues collected for Nov 2014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EC4" w14:textId="77777777" w:rsidR="00B91BC4" w:rsidRPr="00B91BC4" w:rsidRDefault="00B91BC4" w:rsidP="00B91BC4">
            <w:r w:rsidRPr="00B91BC4">
              <w:t xml:space="preserve">            474.00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0E1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331D" w14:textId="77777777" w:rsidR="00B91BC4" w:rsidRPr="00B91BC4" w:rsidRDefault="00B91BC4" w:rsidP="00B91BC4">
            <w:r w:rsidRPr="00B91BC4">
              <w:t xml:space="preserve">    5,882.78 </w:t>
            </w:r>
          </w:p>
        </w:tc>
      </w:tr>
      <w:tr w:rsidR="00B91BC4" w:rsidRPr="00B91BC4" w14:paraId="02C44AF6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87D" w14:textId="77777777" w:rsidR="00B91BC4" w:rsidRPr="00B91BC4" w:rsidRDefault="00B91BC4" w:rsidP="00B91BC4">
            <w:r w:rsidRPr="00B91BC4">
              <w:t>12/31/14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2F1" w14:textId="77777777" w:rsidR="00B91BC4" w:rsidRPr="00B91BC4" w:rsidRDefault="00B91BC4" w:rsidP="00B91BC4">
            <w:r w:rsidRPr="00B91BC4">
              <w:t>Dues collected for Dec 2014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105" w14:textId="77777777" w:rsidR="00B91BC4" w:rsidRPr="00B91BC4" w:rsidRDefault="00B91BC4" w:rsidP="00B91BC4">
            <w:r w:rsidRPr="00B91BC4">
              <w:t xml:space="preserve">             48.00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2DE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07A0" w14:textId="77777777" w:rsidR="00B91BC4" w:rsidRPr="00B91BC4" w:rsidRDefault="00B91BC4" w:rsidP="00B91BC4">
            <w:r w:rsidRPr="00B91BC4">
              <w:t xml:space="preserve">    5,930.78 </w:t>
            </w:r>
          </w:p>
        </w:tc>
      </w:tr>
      <w:tr w:rsidR="00B91BC4" w:rsidRPr="00B91BC4" w14:paraId="3E5BC361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DEF" w14:textId="77777777" w:rsidR="00B91BC4" w:rsidRPr="00B91BC4" w:rsidRDefault="00B91BC4" w:rsidP="00B91BC4">
            <w:r w:rsidRPr="00B91BC4">
              <w:t>1/31/15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701" w14:textId="77777777" w:rsidR="00B91BC4" w:rsidRPr="00B91BC4" w:rsidRDefault="00B91BC4" w:rsidP="00B91BC4">
            <w:r w:rsidRPr="00B91BC4">
              <w:t>Dues collected for Jan.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F4A" w14:textId="77777777" w:rsidR="00B91BC4" w:rsidRPr="00B91BC4" w:rsidRDefault="00B91BC4" w:rsidP="00B91BC4">
            <w:r w:rsidRPr="00B91BC4">
              <w:t xml:space="preserve">            208.00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021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7817" w14:textId="77777777" w:rsidR="00B91BC4" w:rsidRPr="00B91BC4" w:rsidRDefault="00B91BC4" w:rsidP="00B91BC4">
            <w:r w:rsidRPr="00B91BC4">
              <w:t xml:space="preserve">    6,138.78 </w:t>
            </w:r>
          </w:p>
        </w:tc>
      </w:tr>
      <w:tr w:rsidR="00B91BC4" w:rsidRPr="00B91BC4" w14:paraId="22AEE002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27FB" w14:textId="77777777" w:rsidR="00B91BC4" w:rsidRPr="00B91BC4" w:rsidRDefault="00B91BC4" w:rsidP="00B91BC4">
            <w:r w:rsidRPr="00B91BC4">
              <w:t>2/28/15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222" w14:textId="77777777" w:rsidR="00B91BC4" w:rsidRPr="00B91BC4" w:rsidRDefault="00B91BC4" w:rsidP="00B91BC4">
            <w:r w:rsidRPr="00B91BC4">
              <w:t>Dues collected for Feb.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60C" w14:textId="77777777" w:rsidR="00B91BC4" w:rsidRPr="00B91BC4" w:rsidRDefault="00B91BC4" w:rsidP="00B91BC4">
            <w:r w:rsidRPr="00B91BC4">
              <w:t xml:space="preserve">            128.00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013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150" w14:textId="77777777" w:rsidR="00B91BC4" w:rsidRPr="00B91BC4" w:rsidRDefault="00B91BC4" w:rsidP="00B91BC4">
            <w:r w:rsidRPr="00B91BC4">
              <w:t xml:space="preserve">    6,266.78 </w:t>
            </w:r>
          </w:p>
        </w:tc>
      </w:tr>
      <w:tr w:rsidR="00B91BC4" w:rsidRPr="00B91BC4" w14:paraId="41DEFEBA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D51" w14:textId="77777777" w:rsidR="00B91BC4" w:rsidRPr="00B91BC4" w:rsidRDefault="00B91BC4" w:rsidP="00B91BC4">
            <w:r w:rsidRPr="00B91BC4">
              <w:t>3/12/15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5EE" w14:textId="77777777" w:rsidR="00B91BC4" w:rsidRPr="00B91BC4" w:rsidRDefault="00B91BC4" w:rsidP="00B91BC4">
            <w:proofErr w:type="spellStart"/>
            <w:r w:rsidRPr="00B91BC4">
              <w:t>Conf</w:t>
            </w:r>
            <w:proofErr w:type="spellEnd"/>
            <w:r w:rsidRPr="00B91BC4">
              <w:t xml:space="preserve"> of Latin Am </w:t>
            </w:r>
            <w:proofErr w:type="spellStart"/>
            <w:r w:rsidRPr="00B91BC4">
              <w:t>Geog</w:t>
            </w:r>
            <w:proofErr w:type="spellEnd"/>
            <w:r w:rsidRPr="00B91BC4">
              <w:t xml:space="preserve"> - LASG/CLAG 2015 Chicago event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C92" w14:textId="77777777" w:rsidR="00B91BC4" w:rsidRPr="00B91BC4" w:rsidRDefault="00B91BC4" w:rsidP="00B91BC4">
            <w:r w:rsidRPr="00B91BC4">
              <w:t>(739.29)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01A" w14:textId="77777777" w:rsidR="00B91BC4" w:rsidRPr="00B91BC4" w:rsidRDefault="00B91BC4" w:rsidP="00B91BC4">
            <w:r w:rsidRPr="00B91BC4">
              <w:t xml:space="preserve">    5,527.49 </w:t>
            </w:r>
          </w:p>
        </w:tc>
      </w:tr>
      <w:tr w:rsidR="00B91BC4" w:rsidRPr="00B91BC4" w14:paraId="3309F43E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1C6" w14:textId="77777777" w:rsidR="00B91BC4" w:rsidRPr="00B91BC4" w:rsidRDefault="00B91BC4" w:rsidP="00B91BC4">
            <w:r w:rsidRPr="00B91BC4">
              <w:t>3/31/15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85A" w14:textId="77777777" w:rsidR="00B91BC4" w:rsidRPr="00B91BC4" w:rsidRDefault="00B91BC4" w:rsidP="00B91BC4">
            <w:r w:rsidRPr="00B91BC4">
              <w:t>Dues collected for March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338" w14:textId="77777777" w:rsidR="00B91BC4" w:rsidRPr="00B91BC4" w:rsidRDefault="00B91BC4" w:rsidP="00B91BC4">
            <w:r w:rsidRPr="00B91BC4">
              <w:t xml:space="preserve">            146.00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BBF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544" w14:textId="77777777" w:rsidR="00B91BC4" w:rsidRPr="00B91BC4" w:rsidRDefault="00B91BC4" w:rsidP="00B91BC4">
            <w:r w:rsidRPr="00B91BC4">
              <w:t xml:space="preserve">    5,673.49 </w:t>
            </w:r>
          </w:p>
        </w:tc>
      </w:tr>
      <w:tr w:rsidR="00B91BC4" w:rsidRPr="00B91BC4" w14:paraId="0E30A8C9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D64" w14:textId="77777777" w:rsidR="00B91BC4" w:rsidRPr="00B91BC4" w:rsidRDefault="00B91BC4" w:rsidP="00B91BC4">
            <w:r w:rsidRPr="00B91BC4">
              <w:t>4/10/15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804" w14:textId="77777777" w:rsidR="00B91BC4" w:rsidRPr="00B91BC4" w:rsidRDefault="00B91BC4" w:rsidP="00B91BC4">
            <w:r w:rsidRPr="00B91BC4">
              <w:t>Transfer to IPSG for AM15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E41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046D" w14:textId="77777777" w:rsidR="00B91BC4" w:rsidRPr="00B91BC4" w:rsidRDefault="00B91BC4" w:rsidP="00B91BC4">
            <w:r w:rsidRPr="00B91BC4">
              <w:t>(100.00)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0C9" w14:textId="77777777" w:rsidR="00B91BC4" w:rsidRPr="00B91BC4" w:rsidRDefault="00B91BC4" w:rsidP="00B91BC4">
            <w:r w:rsidRPr="00B91BC4">
              <w:t xml:space="preserve">    5,573.49 </w:t>
            </w:r>
          </w:p>
        </w:tc>
      </w:tr>
      <w:tr w:rsidR="00B91BC4" w:rsidRPr="00B91BC4" w14:paraId="26FD85A7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1B8" w14:textId="77777777" w:rsidR="00B91BC4" w:rsidRPr="00B91BC4" w:rsidRDefault="00B91BC4" w:rsidP="00B91BC4">
            <w:r w:rsidRPr="00B91BC4">
              <w:t>4/21/15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3B8" w14:textId="77777777" w:rsidR="00B91BC4" w:rsidRPr="00B91BC4" w:rsidRDefault="00B91BC4" w:rsidP="00B91BC4">
            <w:proofErr w:type="spellStart"/>
            <w:r w:rsidRPr="00B91BC4">
              <w:t>Groth</w:t>
            </w:r>
            <w:proofErr w:type="spellEnd"/>
            <w:r w:rsidRPr="00B91BC4">
              <w:t xml:space="preserve"> - Best Paper MA level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7B2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D6F0" w14:textId="77777777" w:rsidR="00B91BC4" w:rsidRPr="00B91BC4" w:rsidRDefault="00B91BC4" w:rsidP="00B91BC4">
            <w:r w:rsidRPr="00B91BC4">
              <w:t>(250.00)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5C6" w14:textId="77777777" w:rsidR="00B91BC4" w:rsidRPr="00B91BC4" w:rsidRDefault="00B91BC4" w:rsidP="00B91BC4">
            <w:r w:rsidRPr="00B91BC4">
              <w:t xml:space="preserve">    5,323.49 </w:t>
            </w:r>
          </w:p>
        </w:tc>
      </w:tr>
      <w:tr w:rsidR="00B91BC4" w:rsidRPr="00B91BC4" w14:paraId="309D9D37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E66" w14:textId="77777777" w:rsidR="00B91BC4" w:rsidRPr="00B91BC4" w:rsidRDefault="00B91BC4" w:rsidP="00B91BC4">
            <w:r w:rsidRPr="00B91BC4">
              <w:t>4/21/15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1AE1" w14:textId="77777777" w:rsidR="00B91BC4" w:rsidRPr="00B91BC4" w:rsidRDefault="00B91BC4" w:rsidP="00B91BC4">
            <w:proofErr w:type="spellStart"/>
            <w:r w:rsidRPr="00B91BC4">
              <w:t>Courtheyn</w:t>
            </w:r>
            <w:proofErr w:type="spellEnd"/>
            <w:r w:rsidRPr="00B91BC4">
              <w:t xml:space="preserve"> - Best Paper Ph.D. level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BD3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F6F" w14:textId="77777777" w:rsidR="00B91BC4" w:rsidRPr="00B91BC4" w:rsidRDefault="00B91BC4" w:rsidP="00B91BC4">
            <w:r w:rsidRPr="00B91BC4">
              <w:t>(500.00)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80BD" w14:textId="77777777" w:rsidR="00B91BC4" w:rsidRPr="00B91BC4" w:rsidRDefault="00B91BC4" w:rsidP="00B91BC4">
            <w:r w:rsidRPr="00B91BC4">
              <w:t xml:space="preserve">    4,823.49 </w:t>
            </w:r>
          </w:p>
        </w:tc>
      </w:tr>
      <w:tr w:rsidR="00B91BC4" w:rsidRPr="00B91BC4" w14:paraId="1157C13D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68E" w14:textId="77777777" w:rsidR="00B91BC4" w:rsidRPr="00B91BC4" w:rsidRDefault="00B91BC4" w:rsidP="00B91BC4">
            <w:r w:rsidRPr="00B91BC4">
              <w:t>4/21/15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BAE" w14:textId="77777777" w:rsidR="00B91BC4" w:rsidRPr="00B91BC4" w:rsidRDefault="00B91BC4" w:rsidP="00B91BC4">
            <w:r w:rsidRPr="00B91BC4">
              <w:t>Pons - Field Study Award PhD level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0BD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3EC" w14:textId="77777777" w:rsidR="00B91BC4" w:rsidRPr="00B91BC4" w:rsidRDefault="00B91BC4" w:rsidP="00B91BC4">
            <w:r w:rsidRPr="00B91BC4">
              <w:t>(600.00)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697" w14:textId="77777777" w:rsidR="00B91BC4" w:rsidRPr="00B91BC4" w:rsidRDefault="00B91BC4" w:rsidP="00B91BC4">
            <w:r w:rsidRPr="00B91BC4">
              <w:t xml:space="preserve">    4,223.49 </w:t>
            </w:r>
          </w:p>
        </w:tc>
      </w:tr>
      <w:tr w:rsidR="00B91BC4" w:rsidRPr="00B91BC4" w14:paraId="42789370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797" w14:textId="77777777" w:rsidR="00B91BC4" w:rsidRPr="00B91BC4" w:rsidRDefault="00B91BC4" w:rsidP="00B91BC4">
            <w:r w:rsidRPr="00B91BC4">
              <w:t>4/21/15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22C" w14:textId="77777777" w:rsidR="00B91BC4" w:rsidRPr="00B91BC4" w:rsidRDefault="00B91BC4" w:rsidP="00B91BC4">
            <w:r w:rsidRPr="00B91BC4">
              <w:t>Park - Best Paper, Co-author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E44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7DF5" w14:textId="77777777" w:rsidR="00B91BC4" w:rsidRPr="00B91BC4" w:rsidRDefault="00B91BC4" w:rsidP="00B91BC4">
            <w:r w:rsidRPr="00B91BC4">
              <w:t>(250.00)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DF05" w14:textId="77777777" w:rsidR="00B91BC4" w:rsidRPr="00B91BC4" w:rsidRDefault="00B91BC4" w:rsidP="00B91BC4">
            <w:r w:rsidRPr="00B91BC4">
              <w:t xml:space="preserve">    3,973.49 </w:t>
            </w:r>
          </w:p>
        </w:tc>
      </w:tr>
      <w:tr w:rsidR="00B91BC4" w:rsidRPr="00B91BC4" w14:paraId="493281A7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A9D" w14:textId="77777777" w:rsidR="00B91BC4" w:rsidRPr="00B91BC4" w:rsidRDefault="00B91BC4" w:rsidP="00B91BC4">
            <w:r w:rsidRPr="00B91BC4">
              <w:t>4/21/15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43B" w14:textId="77777777" w:rsidR="00B91BC4" w:rsidRPr="00B91BC4" w:rsidRDefault="00B91BC4" w:rsidP="00B91BC4">
            <w:r w:rsidRPr="00B91BC4">
              <w:t>Borgias - Field Study Award, MA level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1F1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5177" w14:textId="77777777" w:rsidR="00B91BC4" w:rsidRPr="00B91BC4" w:rsidRDefault="00B91BC4" w:rsidP="00B91BC4">
            <w:r w:rsidRPr="00B91BC4">
              <w:t>(300.00)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70B" w14:textId="77777777" w:rsidR="00B91BC4" w:rsidRPr="00B91BC4" w:rsidRDefault="00B91BC4" w:rsidP="00B91BC4">
            <w:r w:rsidRPr="00B91BC4">
              <w:t xml:space="preserve">    3,673.49 </w:t>
            </w:r>
          </w:p>
        </w:tc>
      </w:tr>
      <w:tr w:rsidR="00B91BC4" w:rsidRPr="00B91BC4" w14:paraId="6F1D3532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9A6" w14:textId="77777777" w:rsidR="00B91BC4" w:rsidRPr="00B91BC4" w:rsidRDefault="00B91BC4" w:rsidP="00B91BC4">
            <w:r w:rsidRPr="00B91BC4">
              <w:t>4/30/15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0F3" w14:textId="77777777" w:rsidR="00B91BC4" w:rsidRPr="00B91BC4" w:rsidRDefault="00B91BC4" w:rsidP="00B91BC4">
            <w:r w:rsidRPr="00B91BC4">
              <w:t>Dues collected for April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43C" w14:textId="77777777" w:rsidR="00B91BC4" w:rsidRPr="00B91BC4" w:rsidRDefault="00B91BC4" w:rsidP="00B91BC4">
            <w:r w:rsidRPr="00B91BC4">
              <w:t xml:space="preserve">            128.00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FFC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D9C" w14:textId="77777777" w:rsidR="00B91BC4" w:rsidRPr="00B91BC4" w:rsidRDefault="00B91BC4" w:rsidP="00B91BC4">
            <w:r w:rsidRPr="00B91BC4">
              <w:t xml:space="preserve">    3,801.49 </w:t>
            </w:r>
          </w:p>
        </w:tc>
      </w:tr>
      <w:tr w:rsidR="00B91BC4" w:rsidRPr="00B91BC4" w14:paraId="75BD89E7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2F6" w14:textId="77777777" w:rsidR="00B91BC4" w:rsidRPr="00B91BC4" w:rsidRDefault="00B91BC4" w:rsidP="00B91BC4">
            <w:r w:rsidRPr="00B91BC4">
              <w:t>5/31/15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4B0" w14:textId="77777777" w:rsidR="00B91BC4" w:rsidRPr="00B91BC4" w:rsidRDefault="00B91BC4" w:rsidP="00B91BC4">
            <w:r w:rsidRPr="00B91BC4">
              <w:t>Dues collected for May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E4D" w14:textId="77777777" w:rsidR="00B91BC4" w:rsidRPr="00B91BC4" w:rsidRDefault="00B91BC4" w:rsidP="00B91BC4">
            <w:r w:rsidRPr="00B91BC4">
              <w:t xml:space="preserve">             88.00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C10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E5A" w14:textId="77777777" w:rsidR="00B91BC4" w:rsidRPr="00B91BC4" w:rsidRDefault="00B91BC4" w:rsidP="00B91BC4">
            <w:r w:rsidRPr="00B91BC4">
              <w:t xml:space="preserve">    3,889.49 </w:t>
            </w:r>
          </w:p>
        </w:tc>
      </w:tr>
      <w:tr w:rsidR="00B91BC4" w:rsidRPr="00B91BC4" w14:paraId="27B6DCE9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2C0" w14:textId="77777777" w:rsidR="00B91BC4" w:rsidRPr="00B91BC4" w:rsidRDefault="00B91BC4" w:rsidP="00B91BC4">
            <w:r w:rsidRPr="00B91BC4">
              <w:t>6/30/15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EBB" w14:textId="77777777" w:rsidR="00B91BC4" w:rsidRPr="00B91BC4" w:rsidRDefault="00B91BC4" w:rsidP="00B91BC4">
            <w:r w:rsidRPr="00B91BC4">
              <w:t>Dues Collected for June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181" w14:textId="77777777" w:rsidR="00B91BC4" w:rsidRPr="00B91BC4" w:rsidRDefault="00B91BC4" w:rsidP="00B91BC4">
            <w:r w:rsidRPr="00B91BC4">
              <w:t xml:space="preserve">             74.00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5FA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F91" w14:textId="77777777" w:rsidR="00B91BC4" w:rsidRPr="00B91BC4" w:rsidRDefault="00B91BC4" w:rsidP="00B91BC4">
            <w:r w:rsidRPr="00B91BC4">
              <w:t xml:space="preserve">    3,963.49 </w:t>
            </w:r>
          </w:p>
        </w:tc>
      </w:tr>
      <w:tr w:rsidR="00B91BC4" w:rsidRPr="00B91BC4" w14:paraId="61335F41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B51" w14:textId="77777777" w:rsidR="00B91BC4" w:rsidRPr="00B91BC4" w:rsidRDefault="00B91BC4" w:rsidP="00B91BC4">
            <w:r w:rsidRPr="00B91BC4">
              <w:t>7/31/15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FA4" w14:textId="77777777" w:rsidR="00B91BC4" w:rsidRPr="00B91BC4" w:rsidRDefault="00B91BC4" w:rsidP="00B91BC4">
            <w:r w:rsidRPr="00B91BC4">
              <w:t>Dues Collected for July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FC7" w14:textId="77777777" w:rsidR="00B91BC4" w:rsidRPr="00B91BC4" w:rsidRDefault="00B91BC4" w:rsidP="00B91BC4">
            <w:r w:rsidRPr="00B91BC4">
              <w:t xml:space="preserve">             44.00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009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B79" w14:textId="77777777" w:rsidR="00B91BC4" w:rsidRPr="00B91BC4" w:rsidRDefault="00B91BC4" w:rsidP="00B91BC4">
            <w:r w:rsidRPr="00B91BC4">
              <w:t xml:space="preserve">    4,007.49 </w:t>
            </w:r>
          </w:p>
        </w:tc>
      </w:tr>
      <w:tr w:rsidR="00B91BC4" w:rsidRPr="00B91BC4" w14:paraId="4EAB892A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9B3" w14:textId="77777777" w:rsidR="00B91BC4" w:rsidRPr="00B91BC4" w:rsidRDefault="00B91BC4" w:rsidP="00B91BC4">
            <w:r w:rsidRPr="00B91BC4">
              <w:t>8/31/15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4FE2" w14:textId="77777777" w:rsidR="00B91BC4" w:rsidRPr="00B91BC4" w:rsidRDefault="00B91BC4" w:rsidP="00B91BC4">
            <w:r w:rsidRPr="00B91BC4">
              <w:t>Dues Collected for Aug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25D" w14:textId="77777777" w:rsidR="00B91BC4" w:rsidRPr="00B91BC4" w:rsidRDefault="00B91BC4" w:rsidP="00B91BC4">
            <w:r w:rsidRPr="00B91BC4">
              <w:t xml:space="preserve">             60.00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0493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403" w14:textId="77777777" w:rsidR="00B91BC4" w:rsidRPr="00B91BC4" w:rsidRDefault="00B91BC4" w:rsidP="00B91BC4">
            <w:r w:rsidRPr="00B91BC4">
              <w:t xml:space="preserve">    4,067.49 </w:t>
            </w:r>
          </w:p>
        </w:tc>
      </w:tr>
      <w:tr w:rsidR="00B91BC4" w:rsidRPr="00B91BC4" w14:paraId="4B7DF26E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6B0" w14:textId="77777777" w:rsidR="00B91BC4" w:rsidRPr="00B91BC4" w:rsidRDefault="00B91BC4" w:rsidP="00B91BC4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D06" w14:textId="77777777" w:rsidR="00B91BC4" w:rsidRPr="00B91BC4" w:rsidRDefault="00B91BC4" w:rsidP="00B91BC4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D23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828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21A" w14:textId="77777777" w:rsidR="00B91BC4" w:rsidRPr="00B91BC4" w:rsidRDefault="00B91BC4" w:rsidP="00B91BC4"/>
        </w:tc>
      </w:tr>
      <w:tr w:rsidR="00B91BC4" w:rsidRPr="00B91BC4" w14:paraId="4DE71102" w14:textId="77777777" w:rsidTr="00A60BD7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EA3" w14:textId="77777777" w:rsidR="00B91BC4" w:rsidRPr="00B91BC4" w:rsidRDefault="00B91BC4" w:rsidP="00B91BC4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>8/31/15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38A" w14:textId="77777777" w:rsidR="00B91BC4" w:rsidRPr="00B91BC4" w:rsidRDefault="00B91BC4" w:rsidP="0019760D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>Balance</w:t>
            </w:r>
            <w:r w:rsidR="0019760D">
              <w:rPr>
                <w:b/>
                <w:bCs/>
              </w:rPr>
              <w:t xml:space="preserve"> (- $727.29 from 8/31/14)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42E" w14:textId="77777777" w:rsidR="00B91BC4" w:rsidRPr="00B91BC4" w:rsidRDefault="00B91BC4" w:rsidP="00B91BC4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AC1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7345" w14:textId="77777777" w:rsidR="00B91BC4" w:rsidRPr="00B91BC4" w:rsidRDefault="00B91BC4" w:rsidP="00B91BC4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 xml:space="preserve">    4,067.49 </w:t>
            </w:r>
          </w:p>
        </w:tc>
      </w:tr>
      <w:tr w:rsidR="00B91BC4" w:rsidRPr="00B91BC4" w14:paraId="2C7D31A5" w14:textId="77777777" w:rsidTr="00A60BD7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5A1" w14:textId="77777777" w:rsidR="00B91BC4" w:rsidRPr="00B91BC4" w:rsidRDefault="00B91BC4" w:rsidP="00B91BC4">
            <w:pPr>
              <w:rPr>
                <w:b/>
                <w:bCs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0B67" w14:textId="77777777" w:rsidR="00B91BC4" w:rsidRPr="00B91BC4" w:rsidRDefault="00B91BC4" w:rsidP="00B91BC4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70F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DFB9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472" w14:textId="77777777" w:rsidR="00B91BC4" w:rsidRPr="00B91BC4" w:rsidRDefault="00B91BC4" w:rsidP="00B91BC4"/>
        </w:tc>
      </w:tr>
      <w:tr w:rsidR="00B91BC4" w:rsidRPr="00B91BC4" w14:paraId="79B26F2F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4AD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>8/31/15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39A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>Balance forward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439" w14:textId="77777777" w:rsidR="00B91BC4" w:rsidRPr="00B91BC4" w:rsidRDefault="00B91BC4" w:rsidP="00B91BC4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A20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909" w14:textId="77777777" w:rsidR="00B91BC4" w:rsidRPr="00B91BC4" w:rsidRDefault="00B91BC4" w:rsidP="00B91BC4">
            <w:pPr>
              <w:rPr>
                <w:i/>
                <w:iCs/>
              </w:rPr>
            </w:pPr>
            <w:r w:rsidRPr="00B91BC4">
              <w:rPr>
                <w:i/>
                <w:iCs/>
              </w:rPr>
              <w:t xml:space="preserve"> $4,067.49 </w:t>
            </w:r>
          </w:p>
        </w:tc>
      </w:tr>
      <w:tr w:rsidR="00B91BC4" w:rsidRPr="00B91BC4" w14:paraId="2E9C212A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5403" w14:textId="77777777" w:rsidR="00B91BC4" w:rsidRPr="00B91BC4" w:rsidRDefault="00B91BC4" w:rsidP="00B91BC4">
            <w:r w:rsidRPr="00B91BC4">
              <w:t>9/30/15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D56" w14:textId="77777777" w:rsidR="00B91BC4" w:rsidRPr="00B91BC4" w:rsidRDefault="00B91BC4" w:rsidP="00B91BC4">
            <w:r w:rsidRPr="00B91BC4">
              <w:t>Dues Collected for Sept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256" w14:textId="77777777" w:rsidR="00B91BC4" w:rsidRPr="00B91BC4" w:rsidRDefault="00B91BC4" w:rsidP="00B91BC4">
            <w:r w:rsidRPr="00B91BC4">
              <w:t xml:space="preserve">            114.00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2FD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698" w14:textId="77777777" w:rsidR="00B91BC4" w:rsidRPr="00B91BC4" w:rsidRDefault="00B91BC4" w:rsidP="00B91BC4">
            <w:r w:rsidRPr="00B91BC4">
              <w:t xml:space="preserve">    4,181.49 </w:t>
            </w:r>
          </w:p>
        </w:tc>
      </w:tr>
      <w:tr w:rsidR="00B91BC4" w:rsidRPr="00B91BC4" w14:paraId="0DC4E316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7B9" w14:textId="77777777" w:rsidR="00B91BC4" w:rsidRPr="00B91BC4" w:rsidRDefault="00B91BC4" w:rsidP="00B91BC4">
            <w:r w:rsidRPr="00B91BC4">
              <w:t>10/31/15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847" w14:textId="77777777" w:rsidR="00B91BC4" w:rsidRPr="00B91BC4" w:rsidRDefault="00B91BC4" w:rsidP="00B91BC4">
            <w:r w:rsidRPr="00B91BC4">
              <w:t>Dues Collected for Oct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DFD" w14:textId="77777777" w:rsidR="00B91BC4" w:rsidRPr="00B91BC4" w:rsidRDefault="00B91BC4" w:rsidP="00B91BC4">
            <w:r w:rsidRPr="00B91BC4">
              <w:t xml:space="preserve">            632.00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6B8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239" w14:textId="77777777" w:rsidR="00B91BC4" w:rsidRPr="00B91BC4" w:rsidRDefault="00B91BC4" w:rsidP="00B91BC4">
            <w:r w:rsidRPr="00B91BC4">
              <w:t xml:space="preserve">    4,813.49 </w:t>
            </w:r>
          </w:p>
        </w:tc>
      </w:tr>
      <w:tr w:rsidR="00B91BC4" w:rsidRPr="00B91BC4" w14:paraId="75353C48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651" w14:textId="77777777" w:rsidR="00B91BC4" w:rsidRPr="00B91BC4" w:rsidRDefault="00B91BC4" w:rsidP="00B91BC4">
            <w:r w:rsidRPr="00B91BC4">
              <w:t>11/30/15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B86" w14:textId="77777777" w:rsidR="00B91BC4" w:rsidRPr="00B91BC4" w:rsidRDefault="00B91BC4" w:rsidP="00B91BC4">
            <w:r w:rsidRPr="00B91BC4">
              <w:t>Dues collected for Nov.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550" w14:textId="77777777" w:rsidR="00B91BC4" w:rsidRPr="00B91BC4" w:rsidRDefault="00B91BC4" w:rsidP="00B91BC4">
            <w:r w:rsidRPr="00B91BC4">
              <w:t xml:space="preserve">             78.00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B89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FEE" w14:textId="77777777" w:rsidR="00B91BC4" w:rsidRPr="00B91BC4" w:rsidRDefault="00B91BC4" w:rsidP="00B91BC4">
            <w:r w:rsidRPr="00B91BC4">
              <w:t xml:space="preserve">    4,891.49 </w:t>
            </w:r>
          </w:p>
        </w:tc>
      </w:tr>
      <w:tr w:rsidR="00B91BC4" w:rsidRPr="00B91BC4" w14:paraId="28AD0F6E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9A9" w14:textId="77777777" w:rsidR="00B91BC4" w:rsidRPr="00B91BC4" w:rsidRDefault="00B91BC4" w:rsidP="00B91BC4">
            <w:r w:rsidRPr="00B91BC4">
              <w:t>12/31/15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37B" w14:textId="77777777" w:rsidR="00B91BC4" w:rsidRPr="00B91BC4" w:rsidRDefault="00B91BC4" w:rsidP="00B91BC4">
            <w:r w:rsidRPr="00B91BC4">
              <w:t>Dues collected for Dec. 2015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A2B" w14:textId="77777777" w:rsidR="00B91BC4" w:rsidRPr="00B91BC4" w:rsidRDefault="00B91BC4" w:rsidP="00B91BC4">
            <w:r w:rsidRPr="00B91BC4">
              <w:t xml:space="preserve">            166.00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E36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683E" w14:textId="77777777" w:rsidR="00B91BC4" w:rsidRPr="00B91BC4" w:rsidRDefault="00B91BC4" w:rsidP="00B91BC4">
            <w:r w:rsidRPr="00B91BC4">
              <w:t xml:space="preserve">    5,057.49 </w:t>
            </w:r>
          </w:p>
        </w:tc>
      </w:tr>
      <w:tr w:rsidR="00B91BC4" w:rsidRPr="00B91BC4" w14:paraId="57683898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103" w14:textId="77777777" w:rsidR="00B91BC4" w:rsidRPr="00B91BC4" w:rsidRDefault="00B91BC4" w:rsidP="00B91BC4">
            <w:r w:rsidRPr="00B91BC4">
              <w:t>1/31/16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F98" w14:textId="77777777" w:rsidR="00B91BC4" w:rsidRPr="00B91BC4" w:rsidRDefault="00B91BC4" w:rsidP="00B91BC4">
            <w:r w:rsidRPr="00B91BC4">
              <w:t>Dues collected for Jan. 2016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A33" w14:textId="77777777" w:rsidR="00B91BC4" w:rsidRPr="00B91BC4" w:rsidRDefault="00B91BC4" w:rsidP="00B91BC4">
            <w:r w:rsidRPr="00B91BC4">
              <w:t xml:space="preserve">            174.00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A83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AB0" w14:textId="77777777" w:rsidR="00B91BC4" w:rsidRPr="00B91BC4" w:rsidRDefault="00B91BC4" w:rsidP="00B91BC4">
            <w:r w:rsidRPr="00B91BC4">
              <w:t xml:space="preserve">    5,231.49 </w:t>
            </w:r>
          </w:p>
        </w:tc>
      </w:tr>
      <w:tr w:rsidR="00B91BC4" w:rsidRPr="00B91BC4" w14:paraId="50370E24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412" w14:textId="77777777" w:rsidR="00B91BC4" w:rsidRPr="00B91BC4" w:rsidRDefault="00B91BC4" w:rsidP="00B91BC4">
            <w:r w:rsidRPr="00B91BC4">
              <w:t>2/29/16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131D" w14:textId="77777777" w:rsidR="00B91BC4" w:rsidRPr="00B91BC4" w:rsidRDefault="00B91BC4" w:rsidP="00B91BC4">
            <w:r w:rsidRPr="00B91BC4">
              <w:t>Dues collected for Feb. 2016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A95" w14:textId="77777777" w:rsidR="00B91BC4" w:rsidRPr="00B91BC4" w:rsidRDefault="00B91BC4" w:rsidP="00B91BC4">
            <w:r w:rsidRPr="00B91BC4">
              <w:t xml:space="preserve">            230.00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EB3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831" w14:textId="77777777" w:rsidR="00B91BC4" w:rsidRPr="00B91BC4" w:rsidRDefault="00B91BC4" w:rsidP="00B91BC4">
            <w:r w:rsidRPr="00B91BC4">
              <w:t xml:space="preserve">    5,461.49 </w:t>
            </w:r>
          </w:p>
        </w:tc>
      </w:tr>
      <w:tr w:rsidR="00B91BC4" w:rsidRPr="00B91BC4" w14:paraId="28AE7723" w14:textId="77777777" w:rsidTr="00A60BD7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9B6" w14:textId="77777777" w:rsidR="00B91BC4" w:rsidRPr="00B91BC4" w:rsidRDefault="00B91BC4" w:rsidP="00B91BC4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BC5" w14:textId="77777777" w:rsidR="00B91BC4" w:rsidRPr="00B91BC4" w:rsidRDefault="00B91BC4" w:rsidP="00B91BC4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9C2" w14:textId="77777777" w:rsidR="00B91BC4" w:rsidRPr="00B91BC4" w:rsidRDefault="00B91BC4" w:rsidP="00B91BC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578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F4F" w14:textId="77777777" w:rsidR="00B91BC4" w:rsidRPr="00B91BC4" w:rsidRDefault="00B91BC4" w:rsidP="00B91BC4"/>
        </w:tc>
      </w:tr>
      <w:tr w:rsidR="00B91BC4" w:rsidRPr="00B91BC4" w14:paraId="75527848" w14:textId="77777777" w:rsidTr="00A60BD7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4099" w14:textId="77777777" w:rsidR="00B91BC4" w:rsidRPr="00B91BC4" w:rsidRDefault="00B91BC4" w:rsidP="00B91BC4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>2/29/16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0FB" w14:textId="77777777" w:rsidR="00B91BC4" w:rsidRPr="00B91BC4" w:rsidRDefault="00B91BC4" w:rsidP="00B91BC4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>Balance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707" w14:textId="77777777" w:rsidR="00B91BC4" w:rsidRPr="00B91BC4" w:rsidRDefault="00B91BC4" w:rsidP="00B91BC4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A12" w14:textId="77777777" w:rsidR="00B91BC4" w:rsidRPr="00B91BC4" w:rsidRDefault="00B91BC4" w:rsidP="00B91BC4"/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CF45" w14:textId="77777777" w:rsidR="00B91BC4" w:rsidRPr="00B91BC4" w:rsidRDefault="00B91BC4" w:rsidP="00B91BC4">
            <w:pPr>
              <w:rPr>
                <w:b/>
                <w:bCs/>
              </w:rPr>
            </w:pPr>
            <w:r w:rsidRPr="00B91BC4">
              <w:rPr>
                <w:b/>
                <w:bCs/>
              </w:rPr>
              <w:t xml:space="preserve">    5,461.49 </w:t>
            </w:r>
          </w:p>
        </w:tc>
      </w:tr>
    </w:tbl>
    <w:p w14:paraId="77DD69C6" w14:textId="77777777" w:rsidR="0019760D" w:rsidRDefault="0019760D" w:rsidP="00B91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Less $1,900 in awards</w:t>
      </w:r>
    </w:p>
    <w:p w14:paraId="042FC872" w14:textId="77777777" w:rsidR="0019760D" w:rsidRDefault="0019760D" w:rsidP="00B91BC4">
      <w:r>
        <w:tab/>
      </w:r>
      <w:r>
        <w:tab/>
        <w:t>Approximate April 2016 balance after AAG award disbursements</w:t>
      </w:r>
      <w:r>
        <w:tab/>
        <w:t xml:space="preserve">         </w:t>
      </w:r>
      <w:r w:rsidRPr="0019760D">
        <w:rPr>
          <w:b/>
        </w:rPr>
        <w:t>$3,561.49</w:t>
      </w:r>
    </w:p>
    <w:p w14:paraId="3829661A" w14:textId="77777777" w:rsidR="0019760D" w:rsidRDefault="0019760D" w:rsidP="00B91BC4"/>
    <w:p w14:paraId="273EBF20" w14:textId="77777777" w:rsidR="00B91BC4" w:rsidRDefault="0019760D" w:rsidP="00B91BC4">
      <w:r>
        <w:t>Note: The LASG/CLAG party did not cost as much at anticipated so CLAG graciously refunded</w:t>
      </w:r>
    </w:p>
    <w:p w14:paraId="2D36F3A3" w14:textId="77777777" w:rsidR="0019760D" w:rsidRDefault="0019760D" w:rsidP="00B91BC4">
      <w:r>
        <w:t>LASG’s $500 donation</w:t>
      </w:r>
    </w:p>
    <w:p w14:paraId="302D72DB" w14:textId="77777777" w:rsidR="0019760D" w:rsidRPr="00B91BC4" w:rsidRDefault="0019760D" w:rsidP="00B91BC4"/>
    <w:p w14:paraId="5A9C0FB4" w14:textId="77777777" w:rsidR="00B91BC4" w:rsidRPr="00B91BC4" w:rsidRDefault="00B91BC4" w:rsidP="00B91BC4">
      <w:pPr>
        <w:rPr>
          <w:rFonts w:ascii="Times New Roman" w:hAnsi="Times New Roman" w:cs="Times New Roman"/>
          <w:sz w:val="24"/>
          <w:szCs w:val="24"/>
        </w:rPr>
      </w:pPr>
      <w:r w:rsidRPr="00B91BC4">
        <w:rPr>
          <w:rFonts w:ascii="Times New Roman" w:hAnsi="Times New Roman" w:cs="Times New Roman"/>
          <w:sz w:val="24"/>
          <w:szCs w:val="24"/>
        </w:rPr>
        <w:t>Dues Received by Academic Year:</w:t>
      </w:r>
    </w:p>
    <w:p w14:paraId="3013458E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26FD">
        <w:rPr>
          <w:rFonts w:ascii="Times New Roman" w:hAnsi="Times New Roman" w:cs="Times New Roman"/>
          <w:sz w:val="24"/>
          <w:szCs w:val="24"/>
          <w:lang w:val="es-MX"/>
        </w:rPr>
        <w:t>AY 2011-2012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  <w:t>$2,332</w:t>
      </w:r>
    </w:p>
    <w:p w14:paraId="6E603844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26FD">
        <w:rPr>
          <w:rFonts w:ascii="Times New Roman" w:hAnsi="Times New Roman" w:cs="Times New Roman"/>
          <w:sz w:val="24"/>
          <w:szCs w:val="24"/>
          <w:lang w:val="es-MX"/>
        </w:rPr>
        <w:t>AY 2012-2013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  <w:t>$2,086</w:t>
      </w:r>
    </w:p>
    <w:p w14:paraId="7C5B872E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26FD">
        <w:rPr>
          <w:rFonts w:ascii="Times New Roman" w:hAnsi="Times New Roman" w:cs="Times New Roman"/>
          <w:sz w:val="24"/>
          <w:szCs w:val="24"/>
          <w:lang w:val="es-MX"/>
        </w:rPr>
        <w:t>AY 2013-2014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  <w:t>$1,792</w:t>
      </w:r>
    </w:p>
    <w:p w14:paraId="5E5DE0ED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26FD">
        <w:rPr>
          <w:rFonts w:ascii="Times New Roman" w:hAnsi="Times New Roman" w:cs="Times New Roman"/>
          <w:sz w:val="24"/>
          <w:szCs w:val="24"/>
          <w:lang w:val="es-MX"/>
        </w:rPr>
        <w:t>AY 2014-2015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  <w:t xml:space="preserve">$2,012 </w:t>
      </w:r>
    </w:p>
    <w:p w14:paraId="528ACF9E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26FD">
        <w:rPr>
          <w:rFonts w:ascii="Times New Roman" w:hAnsi="Times New Roman" w:cs="Times New Roman"/>
          <w:sz w:val="24"/>
          <w:szCs w:val="24"/>
          <w:lang w:val="es-MX"/>
        </w:rPr>
        <w:t>AY 2015-2/29/16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  <w:t>$1,394</w:t>
      </w:r>
      <w:r w:rsidRPr="00DD26FD"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324BD357" w14:textId="77777777" w:rsidR="00B91BC4" w:rsidRPr="00DD26FD" w:rsidRDefault="00B91BC4" w:rsidP="00B91BC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1F77C83" w14:textId="77777777" w:rsidR="004C33E3" w:rsidRPr="00DD26FD" w:rsidRDefault="004C33E3">
      <w:pPr>
        <w:rPr>
          <w:rFonts w:ascii="Times New Roman" w:hAnsi="Times New Roman" w:cs="Times New Roman"/>
          <w:color w:val="000000" w:themeColor="text1"/>
          <w:sz w:val="28"/>
          <w:lang w:val="es-MX"/>
        </w:rPr>
      </w:pPr>
    </w:p>
    <w:sectPr w:rsidR="004C33E3" w:rsidRPr="00DD26FD" w:rsidSect="006D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1AC"/>
    <w:multiLevelType w:val="hybridMultilevel"/>
    <w:tmpl w:val="972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E"/>
    <w:rsid w:val="00030215"/>
    <w:rsid w:val="000918F6"/>
    <w:rsid w:val="0015633E"/>
    <w:rsid w:val="0019760D"/>
    <w:rsid w:val="001F119E"/>
    <w:rsid w:val="002364EE"/>
    <w:rsid w:val="002D76AD"/>
    <w:rsid w:val="004C33E3"/>
    <w:rsid w:val="005E73A1"/>
    <w:rsid w:val="006137E6"/>
    <w:rsid w:val="006D482F"/>
    <w:rsid w:val="006F484E"/>
    <w:rsid w:val="006F7BE1"/>
    <w:rsid w:val="00704942"/>
    <w:rsid w:val="0071343A"/>
    <w:rsid w:val="007333E4"/>
    <w:rsid w:val="007C02A8"/>
    <w:rsid w:val="00884C38"/>
    <w:rsid w:val="00891E14"/>
    <w:rsid w:val="009A3648"/>
    <w:rsid w:val="009B7A20"/>
    <w:rsid w:val="009D3BF2"/>
    <w:rsid w:val="00A749E1"/>
    <w:rsid w:val="00B478F8"/>
    <w:rsid w:val="00B91BC4"/>
    <w:rsid w:val="00C05001"/>
    <w:rsid w:val="00CD3086"/>
    <w:rsid w:val="00D37B7F"/>
    <w:rsid w:val="00D76A93"/>
    <w:rsid w:val="00D81DE7"/>
    <w:rsid w:val="00DD26FD"/>
    <w:rsid w:val="00E55DD1"/>
    <w:rsid w:val="00EA7851"/>
    <w:rsid w:val="00E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Radel</dc:creator>
  <cp:lastModifiedBy>Claudia Radel</cp:lastModifiedBy>
  <cp:revision>2</cp:revision>
  <dcterms:created xsi:type="dcterms:W3CDTF">2016-06-30T21:03:00Z</dcterms:created>
  <dcterms:modified xsi:type="dcterms:W3CDTF">2016-06-30T21:03:00Z</dcterms:modified>
</cp:coreProperties>
</file>