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BACB" w14:textId="1B1DA18F" w:rsidR="00D761A9" w:rsidRDefault="00D761A9">
      <w:r>
        <w:t>A</w:t>
      </w:r>
      <w:r w:rsidR="00834790">
        <w:t xml:space="preserve">merican </w:t>
      </w:r>
      <w:r>
        <w:t>A</w:t>
      </w:r>
      <w:r w:rsidR="00834790">
        <w:t xml:space="preserve">ssociation of </w:t>
      </w:r>
      <w:r>
        <w:t>G</w:t>
      </w:r>
      <w:r w:rsidR="00834790">
        <w:t>eographers</w:t>
      </w:r>
      <w:r>
        <w:t xml:space="preserve"> 2015, Chicago, IL</w:t>
      </w:r>
      <w:r w:rsidR="00494D78">
        <w:t>, USA</w:t>
      </w:r>
    </w:p>
    <w:p w14:paraId="7D7BF567" w14:textId="77777777" w:rsidR="00D761A9" w:rsidRDefault="00D761A9"/>
    <w:p w14:paraId="178273C5" w14:textId="77777777" w:rsidR="00D761A9" w:rsidRDefault="00D761A9">
      <w:r>
        <w:t>21-25 April 2015</w:t>
      </w:r>
    </w:p>
    <w:p w14:paraId="02A01015" w14:textId="77777777" w:rsidR="00D761A9" w:rsidRDefault="00D761A9"/>
    <w:p w14:paraId="10368711" w14:textId="1F8D638B" w:rsidR="00932D66" w:rsidRDefault="00D761A9">
      <w:r>
        <w:t>Special Session</w:t>
      </w:r>
      <w:r w:rsidR="00932D66">
        <w:t xml:space="preserve"> Call for Papers</w:t>
      </w:r>
      <w:r>
        <w:t xml:space="preserve">: </w:t>
      </w:r>
    </w:p>
    <w:p w14:paraId="37A8B53D" w14:textId="77777777" w:rsidR="00C67E2A" w:rsidRDefault="00C67E2A"/>
    <w:p w14:paraId="5E3DB8B4" w14:textId="3C37C50F" w:rsidR="00C67E2A" w:rsidRPr="00C67E2A" w:rsidRDefault="00C67E2A">
      <w:pPr>
        <w:rPr>
          <w:b/>
        </w:rPr>
      </w:pPr>
      <w:r w:rsidRPr="00AA0111">
        <w:rPr>
          <w:b/>
        </w:rPr>
        <w:t xml:space="preserve">The relational geographies of Environmental Health: Critiquing determinism and the “tyranny of evidence” </w:t>
      </w:r>
    </w:p>
    <w:p w14:paraId="58CB800D" w14:textId="77777777" w:rsidR="00AA0111" w:rsidRDefault="00AA0111"/>
    <w:p w14:paraId="607B2120" w14:textId="5FC546D1" w:rsidR="00AA0111" w:rsidRDefault="00AA0111" w:rsidP="00AA0111">
      <w:r>
        <w:t xml:space="preserve">Session organizers: </w:t>
      </w:r>
      <w:r w:rsidR="005065E3">
        <w:t>Aaron Franks (</w:t>
      </w:r>
      <w:r w:rsidR="00E32E5E">
        <w:t xml:space="preserve">Queen’s University; </w:t>
      </w:r>
      <w:r w:rsidR="005065E3">
        <w:t xml:space="preserve">School of Kinesiology and Health Studies and Department of Geography), </w:t>
      </w:r>
      <w:r>
        <w:t>Heather Castleden (</w:t>
      </w:r>
      <w:r w:rsidR="00E32E5E">
        <w:t xml:space="preserve">Queen’s University; </w:t>
      </w:r>
      <w:r>
        <w:t>Departments of Geography and Public Health Sciences),</w:t>
      </w:r>
      <w:r w:rsidR="0097111E">
        <w:t xml:space="preserve"> </w:t>
      </w:r>
      <w:r>
        <w:t>Jeff Masuda (</w:t>
      </w:r>
      <w:r w:rsidR="00E32E5E">
        <w:t xml:space="preserve">Queen’s University; </w:t>
      </w:r>
      <w:r>
        <w:t>School of Kinesiology and Health Studies and Department of Geography)</w:t>
      </w:r>
    </w:p>
    <w:p w14:paraId="3966E7DE" w14:textId="77777777" w:rsidR="00F43BB4" w:rsidRDefault="00F43BB4"/>
    <w:p w14:paraId="3BDA08D0" w14:textId="0754445C" w:rsidR="00F43BB4" w:rsidRDefault="00834790">
      <w:r>
        <w:t>Sponsored by the Health and Medical Geography and Indigenous Peoples</w:t>
      </w:r>
      <w:r w:rsidR="00F43BB4">
        <w:t xml:space="preserve"> </w:t>
      </w:r>
      <w:r>
        <w:t>Specialty G</w:t>
      </w:r>
      <w:r w:rsidR="00F43BB4">
        <w:t>roups</w:t>
      </w:r>
    </w:p>
    <w:p w14:paraId="4E0941ED" w14:textId="77777777" w:rsidR="00D761A9" w:rsidRDefault="00D761A9">
      <w:bookmarkStart w:id="0" w:name="_GoBack"/>
      <w:bookmarkEnd w:id="0"/>
    </w:p>
    <w:p w14:paraId="09252446" w14:textId="1D440EF1" w:rsidR="00BD1028" w:rsidRPr="00863079" w:rsidRDefault="00402ED0">
      <w:r>
        <w:t>The relationship between the environment and humanity</w:t>
      </w:r>
      <w:r w:rsidR="005044F5">
        <w:t xml:space="preserve"> has always been a central tene</w:t>
      </w:r>
      <w:r>
        <w:t xml:space="preserve">t of health, with this relationship recently receiving vigourously renewed attention.  </w:t>
      </w:r>
      <w:r w:rsidR="0038277E">
        <w:t>I</w:t>
      </w:r>
      <w:r w:rsidR="00856004">
        <w:t xml:space="preserve">n addressing changing environments and concomitantly rising health inequities, </w:t>
      </w:r>
      <w:r>
        <w:t>many</w:t>
      </w:r>
      <w:r w:rsidR="00856004">
        <w:t xml:space="preserve"> </w:t>
      </w:r>
      <w:r w:rsidR="00D761A9">
        <w:t xml:space="preserve">policy makers and researchers have for some time </w:t>
      </w:r>
      <w:r w:rsidR="00856004">
        <w:t>argued for more</w:t>
      </w:r>
      <w:r w:rsidR="00D761A9">
        <w:t xml:space="preserve"> </w:t>
      </w:r>
      <w:r w:rsidR="00D761A9" w:rsidRPr="00D761A9">
        <w:rPr>
          <w:i/>
        </w:rPr>
        <w:t>relational approaches</w:t>
      </w:r>
      <w:r w:rsidR="00D761A9">
        <w:t xml:space="preserve"> </w:t>
      </w:r>
      <w:r w:rsidR="00856004">
        <w:t>to uncover the unjust spatialities of environmental and public health</w:t>
      </w:r>
      <w:r w:rsidR="00494D78">
        <w:t xml:space="preserve"> (e.g. Hancock 1993</w:t>
      </w:r>
      <w:r w:rsidR="00863079">
        <w:t xml:space="preserve">; NCCDH, 2014; </w:t>
      </w:r>
      <w:r w:rsidR="00863079" w:rsidRPr="00AB7B2C">
        <w:t>Rayner and Lang, 2012</w:t>
      </w:r>
      <w:r w:rsidR="00863079">
        <w:t>)</w:t>
      </w:r>
      <w:r w:rsidR="00856004">
        <w:t xml:space="preserve">. </w:t>
      </w:r>
      <w:r>
        <w:t xml:space="preserve"> </w:t>
      </w:r>
      <w:r w:rsidR="00863079">
        <w:t>Similarly</w:t>
      </w:r>
      <w:r w:rsidR="00C87646" w:rsidRPr="00863079">
        <w:t>,</w:t>
      </w:r>
      <w:r>
        <w:t xml:space="preserve"> </w:t>
      </w:r>
      <w:r w:rsidR="00C87646" w:rsidRPr="00863079">
        <w:t>myriad influential health bodies including the World Health Organization (2008) cite rapid environmental change as a central factor in social justice and health equity</w:t>
      </w:r>
      <w:r>
        <w:t xml:space="preserve">.  </w:t>
      </w:r>
    </w:p>
    <w:p w14:paraId="7D289859" w14:textId="77777777" w:rsidR="00013B81" w:rsidRDefault="00013B81">
      <w:pPr>
        <w:rPr>
          <w:strike/>
        </w:rPr>
      </w:pPr>
    </w:p>
    <w:p w14:paraId="6BC7B8C4" w14:textId="0AB06B8A" w:rsidR="0038277E" w:rsidRDefault="00013B81">
      <w:r>
        <w:t>However, w</w:t>
      </w:r>
      <w:r w:rsidR="00402ED0">
        <w:t xml:space="preserve">hile these </w:t>
      </w:r>
      <w:r>
        <w:t>views</w:t>
      </w:r>
      <w:r w:rsidR="00402ED0">
        <w:t xml:space="preserve"> have gained traction </w:t>
      </w:r>
      <w:r>
        <w:t>with</w:t>
      </w:r>
      <w:r w:rsidR="00402ED0">
        <w:t xml:space="preserve">in the </w:t>
      </w:r>
      <w:r>
        <w:t xml:space="preserve">theoretical </w:t>
      </w:r>
      <w:r w:rsidR="00402ED0">
        <w:t xml:space="preserve">‘conversation’ in environmental health, the </w:t>
      </w:r>
      <w:r w:rsidR="00402ED0" w:rsidRPr="00A0143E">
        <w:rPr>
          <w:i/>
        </w:rPr>
        <w:t>practical</w:t>
      </w:r>
      <w:r w:rsidR="00402ED0">
        <w:t xml:space="preserve"> </w:t>
      </w:r>
      <w:r w:rsidR="00402ED0" w:rsidRPr="006C1B42">
        <w:rPr>
          <w:i/>
        </w:rPr>
        <w:t>capacity</w:t>
      </w:r>
      <w:r w:rsidR="00402ED0">
        <w:t xml:space="preserve"> of environmental health research to catalyze meaningful improvements in environmental and public health outcomes </w:t>
      </w:r>
      <w:r>
        <w:t>has failed</w:t>
      </w:r>
      <w:r w:rsidR="00402ED0">
        <w:t xml:space="preserve"> the promise of these</w:t>
      </w:r>
      <w:r>
        <w:t xml:space="preserve"> ideals.  In terms of </w:t>
      </w:r>
      <w:r w:rsidR="00494D78">
        <w:t xml:space="preserve">environmental health practice, </w:t>
      </w:r>
      <w:r>
        <w:t>the programmatic training, funding, and agenda-setting which makes up the environmental health landscape</w:t>
      </w:r>
      <w:r w:rsidR="005065E3">
        <w:t xml:space="preserve"> has been conditioned by</w:t>
      </w:r>
      <w:r>
        <w:t xml:space="preserve"> a </w:t>
      </w:r>
      <w:r w:rsidR="00310A92">
        <w:t>sustained</w:t>
      </w:r>
      <w:r>
        <w:t xml:space="preserve"> call to collect and </w:t>
      </w:r>
      <w:r w:rsidR="005065E3">
        <w:t>intervene</w:t>
      </w:r>
      <w:r>
        <w:t xml:space="preserve"> on</w:t>
      </w:r>
      <w:r w:rsidR="005065E3">
        <w:t xml:space="preserve"> the basis of</w:t>
      </w:r>
      <w:r>
        <w:t xml:space="preserve"> </w:t>
      </w:r>
      <w:r w:rsidR="005065E3">
        <w:t xml:space="preserve">“evidence” </w:t>
      </w:r>
      <w:r w:rsidR="00494D78">
        <w:t xml:space="preserve">(Barnes and </w:t>
      </w:r>
      <w:r w:rsidR="00494D78" w:rsidRPr="00494D78">
        <w:t>Parkhurst</w:t>
      </w:r>
      <w:r w:rsidR="00494D78">
        <w:t xml:space="preserve">, </w:t>
      </w:r>
      <w:r w:rsidR="00494D78" w:rsidRPr="00494D78">
        <w:t>2014).</w:t>
      </w:r>
    </w:p>
    <w:p w14:paraId="194A2DBE" w14:textId="77777777" w:rsidR="0038277E" w:rsidRDefault="0038277E"/>
    <w:p w14:paraId="5FBB5215" w14:textId="3EBD46E2" w:rsidR="00643AF7" w:rsidRDefault="00013B81">
      <w:r>
        <w:t>As a consequence of</w:t>
      </w:r>
      <w:r w:rsidR="00402ED0">
        <w:t xml:space="preserve"> the global push for “evidence”</w:t>
      </w:r>
      <w:r>
        <w:t>,</w:t>
      </w:r>
      <w:r w:rsidR="00402ED0" w:rsidRPr="00402ED0">
        <w:t xml:space="preserve"> </w:t>
      </w:r>
      <w:r w:rsidR="0038277E">
        <w:t xml:space="preserve">single-issue, medicalized or technical-interventionist approaches that bracket away context, interdependency and material and social connections </w:t>
      </w:r>
      <w:r w:rsidR="005065E3">
        <w:t>have come to the forefront of policies and practice</w:t>
      </w:r>
      <w:r w:rsidR="0038277E">
        <w:t xml:space="preserve">. </w:t>
      </w:r>
      <w:r w:rsidR="00494D78">
        <w:t>In addition, t</w:t>
      </w:r>
      <w:r>
        <w:t>he</w:t>
      </w:r>
      <w:r w:rsidR="00402ED0">
        <w:t xml:space="preserve"> predominance of </w:t>
      </w:r>
      <w:r w:rsidR="005065E3">
        <w:t>cause-effect determinism</w:t>
      </w:r>
      <w:r w:rsidR="00402ED0">
        <w:t xml:space="preserve"> has </w:t>
      </w:r>
      <w:r w:rsidR="005065E3">
        <w:t>framed the</w:t>
      </w:r>
      <w:r>
        <w:t xml:space="preserve"> </w:t>
      </w:r>
      <w:r w:rsidR="005065E3">
        <w:t>‘</w:t>
      </w:r>
      <w:r>
        <w:t>environment’</w:t>
      </w:r>
      <w:r w:rsidR="00310A92">
        <w:t xml:space="preserve"> as an</w:t>
      </w:r>
      <w:r w:rsidR="00402ED0">
        <w:t xml:space="preserve"> external</w:t>
      </w:r>
      <w:r>
        <w:t xml:space="preserve"> source of threats and</w:t>
      </w:r>
      <w:r w:rsidR="00402ED0">
        <w:t xml:space="preserve"> challenges, rather than a wholly integrated fabric within which human (and others’) health is but a part.</w:t>
      </w:r>
      <w:r w:rsidR="00AD2A57">
        <w:t xml:space="preserve">  This dual-effect of the positivist legacy in health </w:t>
      </w:r>
      <w:r w:rsidR="005065E3">
        <w:t>impedes the arrival of the long-awaited</w:t>
      </w:r>
      <w:r w:rsidR="00310A92">
        <w:t xml:space="preserve"> ‘Third Wave’ (</w:t>
      </w:r>
      <w:r w:rsidR="00494D78">
        <w:rPr>
          <w:rFonts w:ascii="Cambria" w:hAnsi="Cambria"/>
        </w:rPr>
        <w:t>Ö</w:t>
      </w:r>
      <w:r w:rsidR="00310A92">
        <w:t>stlin et al l 2011) environmental health agenda</w:t>
      </w:r>
      <w:r w:rsidR="00494D78">
        <w:t>,</w:t>
      </w:r>
      <w:r w:rsidR="005065E3">
        <w:t xml:space="preserve"> in which </w:t>
      </w:r>
      <w:r w:rsidR="005065E3" w:rsidRPr="00494D78">
        <w:rPr>
          <w:i/>
        </w:rPr>
        <w:t>relationality</w:t>
      </w:r>
      <w:r w:rsidR="005065E3">
        <w:t xml:space="preserve"> between human and environmental agency brings to light the needed sociopolitical transfor</w:t>
      </w:r>
      <w:r w:rsidR="00B61609">
        <w:t xml:space="preserve">mations </w:t>
      </w:r>
      <w:r w:rsidR="005065E3">
        <w:t>for improved health equity.</w:t>
      </w:r>
      <w:r w:rsidR="00E32E5E">
        <w:t xml:space="preserve">  Moreover, with few exceptions (see </w:t>
      </w:r>
      <w:r w:rsidR="00E32E5E" w:rsidRPr="00E32E5E">
        <w:t>Bartlett, C.,</w:t>
      </w:r>
      <w:r w:rsidR="00E32E5E">
        <w:t xml:space="preserve"> Marshall, M. and Marshall, A., </w:t>
      </w:r>
      <w:r w:rsidR="00E32E5E" w:rsidRPr="00E32E5E">
        <w:t>2012)</w:t>
      </w:r>
      <w:r w:rsidR="00E32E5E">
        <w:t>, it effectively discounts the knowledges, experiences and expertise of Indigenous peoples (</w:t>
      </w:r>
      <w:r w:rsidR="00E32E5E" w:rsidRPr="00E32E5E">
        <w:t xml:space="preserve">Coombes, </w:t>
      </w:r>
      <w:r w:rsidR="00E32E5E">
        <w:t>B., Johnson, J. T., Howitt, R., 2014; Simpson, L.R., 2004).</w:t>
      </w:r>
    </w:p>
    <w:p w14:paraId="55E772EA" w14:textId="77777777" w:rsidR="00EC5D9E" w:rsidRDefault="00EC5D9E"/>
    <w:p w14:paraId="3048E545" w14:textId="558D76C5" w:rsidR="00933550" w:rsidRDefault="00A0143E">
      <w:r>
        <w:t xml:space="preserve">This special session invites </w:t>
      </w:r>
      <w:r w:rsidR="00933550">
        <w:t xml:space="preserve">provocations and </w:t>
      </w:r>
      <w:r w:rsidR="00932D66">
        <w:t xml:space="preserve">critical </w:t>
      </w:r>
      <w:r w:rsidR="00160A31">
        <w:t xml:space="preserve">empirical </w:t>
      </w:r>
      <w:r w:rsidR="00933550">
        <w:t xml:space="preserve">contributions </w:t>
      </w:r>
      <w:r>
        <w:t xml:space="preserve">that address </w:t>
      </w:r>
      <w:r w:rsidRPr="00932D66">
        <w:rPr>
          <w:i/>
        </w:rPr>
        <w:t>why</w:t>
      </w:r>
      <w:r>
        <w:t xml:space="preserve"> this </w:t>
      </w:r>
      <w:r w:rsidR="00643AF7">
        <w:t>is so</w:t>
      </w:r>
      <w:r w:rsidR="004200F2">
        <w:t xml:space="preserve">, </w:t>
      </w:r>
      <w:r w:rsidR="004200F2" w:rsidRPr="00932D66">
        <w:rPr>
          <w:i/>
        </w:rPr>
        <w:t>how</w:t>
      </w:r>
      <w:r w:rsidR="004200F2">
        <w:t xml:space="preserve"> this might change, and </w:t>
      </w:r>
      <w:r w:rsidR="004200F2" w:rsidRPr="00932D66">
        <w:rPr>
          <w:i/>
        </w:rPr>
        <w:t>what</w:t>
      </w:r>
      <w:r w:rsidR="004200F2">
        <w:t xml:space="preserve"> a fully realized </w:t>
      </w:r>
      <w:r w:rsidR="004200F2" w:rsidRPr="00932D66">
        <w:t>relational ontology</w:t>
      </w:r>
      <w:r w:rsidR="004200F2">
        <w:t xml:space="preserve"> of environmental health might look like – and be capable of. </w:t>
      </w:r>
      <w:r w:rsidR="00EC5D9E">
        <w:t xml:space="preserve"> The session organizers are particularly interested in contributing to a ‘post-‘ or ‘alter-‘ evidence empirical agenda in environmental health equity work.  </w:t>
      </w:r>
      <w:r w:rsidR="00160A31">
        <w:t xml:space="preserve">Papers </w:t>
      </w:r>
      <w:r w:rsidR="004200F2">
        <w:t xml:space="preserve">might </w:t>
      </w:r>
      <w:r w:rsidR="00160A31">
        <w:t>focus on, but are not limited to, any of the following areas of inquiry</w:t>
      </w:r>
      <w:r w:rsidR="004200F2">
        <w:t>:</w:t>
      </w:r>
    </w:p>
    <w:p w14:paraId="77904248" w14:textId="77777777" w:rsidR="004200F2" w:rsidRDefault="004200F2"/>
    <w:p w14:paraId="744BC987" w14:textId="63F11BA5" w:rsidR="004200F2" w:rsidRDefault="00494D78">
      <w:r>
        <w:t xml:space="preserve">- </w:t>
      </w:r>
      <w:r w:rsidR="00160A31">
        <w:t>Countering c</w:t>
      </w:r>
      <w:r w:rsidR="00932D66">
        <w:t>olonial constructions of health, healthy subjects and health inequality</w:t>
      </w:r>
    </w:p>
    <w:p w14:paraId="72126E07" w14:textId="77777777" w:rsidR="00932D66" w:rsidRDefault="00932D66"/>
    <w:p w14:paraId="3AE0AE72" w14:textId="33BE6B9F" w:rsidR="00160A31" w:rsidRDefault="00494D78">
      <w:r>
        <w:t xml:space="preserve">- </w:t>
      </w:r>
      <w:r w:rsidR="00160A31">
        <w:t>Post-essentialist studies of environmental racism/racialization and health</w:t>
      </w:r>
    </w:p>
    <w:p w14:paraId="517D553C" w14:textId="77777777" w:rsidR="00160A31" w:rsidRDefault="00160A31"/>
    <w:p w14:paraId="08B832CB" w14:textId="2B339512" w:rsidR="00066199" w:rsidRDefault="00494D78">
      <w:r>
        <w:t xml:space="preserve">- </w:t>
      </w:r>
      <w:r w:rsidR="00066199">
        <w:t>Ethnographic accounts of “lived” environmental injustice and activism</w:t>
      </w:r>
    </w:p>
    <w:p w14:paraId="044A5CBA" w14:textId="77777777" w:rsidR="00066199" w:rsidRDefault="00066199"/>
    <w:p w14:paraId="4227890C" w14:textId="74EA9300" w:rsidR="00932D66" w:rsidRDefault="00494D78">
      <w:r>
        <w:t xml:space="preserve">- </w:t>
      </w:r>
      <w:r w:rsidR="00932D66">
        <w:t xml:space="preserve">Connections, causes </w:t>
      </w:r>
      <w:r w:rsidR="00160A31">
        <w:t xml:space="preserve">or </w:t>
      </w:r>
      <w:r w:rsidR="00932D66">
        <w:t>consequences: breaking the bonds of environmental determinism</w:t>
      </w:r>
    </w:p>
    <w:p w14:paraId="4813F3E9" w14:textId="77777777" w:rsidR="00932D66" w:rsidRDefault="00932D66"/>
    <w:p w14:paraId="40811BAB" w14:textId="6616616E" w:rsidR="00932D66" w:rsidRDefault="00494D78">
      <w:r>
        <w:t xml:space="preserve">- </w:t>
      </w:r>
      <w:r w:rsidR="00932D66">
        <w:t xml:space="preserve">Recognizing and respecting agency vs. ‘building’ capacity </w:t>
      </w:r>
    </w:p>
    <w:p w14:paraId="15C4F602" w14:textId="77777777" w:rsidR="00EC5D9E" w:rsidRDefault="00EC5D9E"/>
    <w:p w14:paraId="6758CAD6" w14:textId="03A4B1AD" w:rsidR="00EC5D9E" w:rsidRDefault="00494D78">
      <w:r>
        <w:t xml:space="preserve">- </w:t>
      </w:r>
      <w:r w:rsidR="00EC5D9E">
        <w:t>Data, stories, encounters – the methodological basis for ‘post-‘ or ‘alter-‘ evidence work</w:t>
      </w:r>
    </w:p>
    <w:p w14:paraId="6669B520" w14:textId="77777777" w:rsidR="00932D66" w:rsidRDefault="00932D66"/>
    <w:p w14:paraId="00567B00" w14:textId="6040DEDC" w:rsidR="00932D66" w:rsidRDefault="00494D78">
      <w:r>
        <w:t xml:space="preserve">- </w:t>
      </w:r>
      <w:r w:rsidR="00932D66">
        <w:t xml:space="preserve">Reconsidering ‘the environment’ in environmental health – </w:t>
      </w:r>
      <w:r w:rsidR="00122D79">
        <w:t xml:space="preserve">is it </w:t>
      </w:r>
      <w:r w:rsidR="00932D66">
        <w:t xml:space="preserve">what and where </w:t>
      </w:r>
      <w:r w:rsidR="00122D79">
        <w:t>it needs to be?</w:t>
      </w:r>
    </w:p>
    <w:p w14:paraId="3A7B376D" w14:textId="77777777" w:rsidR="00EC5D9E" w:rsidRDefault="00EC5D9E"/>
    <w:p w14:paraId="240A18E8" w14:textId="33B293C9" w:rsidR="00EC5D9E" w:rsidRDefault="00494D78">
      <w:r>
        <w:t xml:space="preserve">- </w:t>
      </w:r>
      <w:r w:rsidR="00066199">
        <w:t>Hybrid environment/health geographies</w:t>
      </w:r>
    </w:p>
    <w:p w14:paraId="3057C466" w14:textId="77777777" w:rsidR="00EC5D9E" w:rsidRDefault="00EC5D9E"/>
    <w:p w14:paraId="7223BE9F" w14:textId="77777777" w:rsidR="00932D66" w:rsidRDefault="00932D66"/>
    <w:p w14:paraId="58786F42" w14:textId="7CB031FA" w:rsidR="00A0143E" w:rsidRDefault="004200F2">
      <w:r w:rsidRPr="00494D78">
        <w:t xml:space="preserve">Please address all abstracts (250 words max) and queries to Aaron </w:t>
      </w:r>
      <w:r w:rsidR="00AA0111">
        <w:t xml:space="preserve">Franks </w:t>
      </w:r>
      <w:r w:rsidR="00834790">
        <w:t xml:space="preserve">at </w:t>
      </w:r>
      <w:hyperlink r:id="rId5" w:history="1">
        <w:r w:rsidR="00B21345" w:rsidRPr="000A3477">
          <w:rPr>
            <w:rStyle w:val="Hyperlink"/>
          </w:rPr>
          <w:t>aaron.franks@queensu.ca</w:t>
        </w:r>
      </w:hyperlink>
      <w:r w:rsidR="00B21345">
        <w:t xml:space="preserve"> by 28 October, 2014</w:t>
      </w:r>
      <w:r w:rsidR="00932D66" w:rsidRPr="00494D78">
        <w:t>.</w:t>
      </w:r>
      <w:r w:rsidR="00932D66">
        <w:t xml:space="preserve"> </w:t>
      </w:r>
    </w:p>
    <w:p w14:paraId="1F511829" w14:textId="77777777" w:rsidR="004200F2" w:rsidRDefault="004200F2"/>
    <w:p w14:paraId="0518A6ED" w14:textId="77777777" w:rsidR="004200F2" w:rsidRDefault="004200F2"/>
    <w:p w14:paraId="1DC89742" w14:textId="77777777" w:rsidR="00A0143E" w:rsidRDefault="00A0143E">
      <w:pPr>
        <w:rPr>
          <w:b/>
        </w:rPr>
      </w:pPr>
      <w:r w:rsidRPr="00A0143E">
        <w:rPr>
          <w:b/>
        </w:rPr>
        <w:t>References:</w:t>
      </w:r>
    </w:p>
    <w:p w14:paraId="3D75077D" w14:textId="77777777" w:rsidR="00AD2A57" w:rsidRDefault="00AD2A57">
      <w:pPr>
        <w:rPr>
          <w:b/>
        </w:rPr>
      </w:pPr>
    </w:p>
    <w:p w14:paraId="5DCD7189" w14:textId="2893D350" w:rsidR="00494D78" w:rsidRDefault="00494D78">
      <w:r w:rsidRPr="00494D78">
        <w:t xml:space="preserve">Barnes, A., &amp; Parkhurst, J. 2014. Can Global Health Policy be Depoliticized? A Critique of Global Calls for Evidence‐Based Policy. </w:t>
      </w:r>
      <w:r w:rsidRPr="00E32E5E">
        <w:rPr>
          <w:i/>
        </w:rPr>
        <w:t>The Handbook of Global Health Policy</w:t>
      </w:r>
      <w:r w:rsidRPr="00494D78">
        <w:t>, 157-173.</w:t>
      </w:r>
    </w:p>
    <w:p w14:paraId="4A1E67A6" w14:textId="77777777" w:rsidR="00E32E5E" w:rsidRDefault="00E32E5E"/>
    <w:p w14:paraId="0B7B1F01" w14:textId="3FFB40BF" w:rsidR="00E32E5E" w:rsidRDefault="00E32E5E">
      <w:r w:rsidRPr="00E32E5E">
        <w:t xml:space="preserve">Bartlett, C., Marshall, M. and Marshall, A. (2012). Two-Eyed Seeing and other lessons learned within a co-learning journey of bringing together indigenous and mainstream knowledges and ways of knowing. </w:t>
      </w:r>
      <w:r w:rsidRPr="00E32E5E">
        <w:rPr>
          <w:i/>
        </w:rPr>
        <w:t>Journal of Environmental Studies and Sciences</w:t>
      </w:r>
      <w:r w:rsidRPr="00E32E5E">
        <w:t xml:space="preserve"> 2(4): 331-340.</w:t>
      </w:r>
    </w:p>
    <w:p w14:paraId="1C3CF0C3" w14:textId="77777777" w:rsidR="00E32E5E" w:rsidRDefault="00E32E5E"/>
    <w:p w14:paraId="12E7555B" w14:textId="47F897B7" w:rsidR="00E32E5E" w:rsidRDefault="00E32E5E">
      <w:r w:rsidRPr="00E32E5E">
        <w:t xml:space="preserve">Coombes, B., Johnson, J. T., Howitt, R. (2014). Indigenous geographies III: Methodological innovation and the unsettling of participatory research. </w:t>
      </w:r>
      <w:r w:rsidRPr="00E32E5E">
        <w:rPr>
          <w:i/>
        </w:rPr>
        <w:t>Progress in Human Geography</w:t>
      </w:r>
      <w:r w:rsidRPr="00E32E5E">
        <w:t>. doi: 10.1177/0309132513514723</w:t>
      </w:r>
    </w:p>
    <w:p w14:paraId="26E12A2A" w14:textId="77777777" w:rsidR="00E32E5E" w:rsidRPr="00494D78" w:rsidRDefault="00E32E5E"/>
    <w:p w14:paraId="78AAA4FE" w14:textId="6F7E6D69" w:rsidR="00F92412" w:rsidRPr="00494D78" w:rsidRDefault="00494D78" w:rsidP="00F92412">
      <w:pPr>
        <w:rPr>
          <w:rFonts w:eastAsia="Times New Roman" w:cs="Times New Roman"/>
          <w:lang w:val="en-CA"/>
        </w:rPr>
      </w:pPr>
      <w:r w:rsidRPr="00494D78">
        <w:rPr>
          <w:rFonts w:eastAsia="Times New Roman" w:cs="Arial"/>
          <w:color w:val="222222"/>
          <w:shd w:val="clear" w:color="auto" w:fill="FFFFFF"/>
          <w:lang w:val="en-CA"/>
        </w:rPr>
        <w:t>Hancock, T. 1993</w:t>
      </w:r>
      <w:r w:rsidR="00F92412" w:rsidRPr="00494D78">
        <w:rPr>
          <w:rFonts w:eastAsia="Times New Roman" w:cs="Arial"/>
          <w:color w:val="222222"/>
          <w:shd w:val="clear" w:color="auto" w:fill="FFFFFF"/>
          <w:lang w:val="en-CA"/>
        </w:rPr>
        <w:t>. Health, human development and the community ecosystem: three ecological models. </w:t>
      </w:r>
      <w:r w:rsidR="00F92412" w:rsidRPr="00494D78">
        <w:rPr>
          <w:rFonts w:eastAsia="Times New Roman" w:cs="Arial"/>
          <w:i/>
          <w:iCs/>
          <w:color w:val="222222"/>
          <w:shd w:val="clear" w:color="auto" w:fill="FFFFFF"/>
          <w:lang w:val="en-CA"/>
        </w:rPr>
        <w:t>Health promotion international</w:t>
      </w:r>
      <w:r w:rsidR="00F92412" w:rsidRPr="00494D78">
        <w:rPr>
          <w:rFonts w:eastAsia="Times New Roman" w:cs="Arial"/>
          <w:color w:val="222222"/>
          <w:shd w:val="clear" w:color="auto" w:fill="FFFFFF"/>
          <w:lang w:val="en-CA"/>
        </w:rPr>
        <w:t>, </w:t>
      </w:r>
      <w:r w:rsidR="00F92412" w:rsidRPr="00494D78">
        <w:rPr>
          <w:rFonts w:eastAsia="Times New Roman" w:cs="Arial"/>
          <w:i/>
          <w:iCs/>
          <w:color w:val="222222"/>
          <w:shd w:val="clear" w:color="auto" w:fill="FFFFFF"/>
          <w:lang w:val="en-CA"/>
        </w:rPr>
        <w:t>8</w:t>
      </w:r>
      <w:r w:rsidR="00F92412" w:rsidRPr="00494D78">
        <w:rPr>
          <w:rFonts w:eastAsia="Times New Roman" w:cs="Arial"/>
          <w:color w:val="222222"/>
          <w:shd w:val="clear" w:color="auto" w:fill="FFFFFF"/>
          <w:lang w:val="en-CA"/>
        </w:rPr>
        <w:t>(1), 41-47.</w:t>
      </w:r>
    </w:p>
    <w:p w14:paraId="335F8B8E" w14:textId="77777777" w:rsidR="00A0143E" w:rsidRDefault="00A0143E"/>
    <w:p w14:paraId="7379927C" w14:textId="3C49623E" w:rsidR="00A0143E" w:rsidRDefault="00A0143E" w:rsidP="00A0143E">
      <w:r w:rsidRPr="00A0143E">
        <w:t>National Collaborating</w:t>
      </w:r>
      <w:r>
        <w:t xml:space="preserve"> </w:t>
      </w:r>
      <w:r w:rsidRPr="00A0143E">
        <w:t>Centre for Determinants of Health. 2014. Let’s talk: Moving upstream. Antigonish, NS:</w:t>
      </w:r>
      <w:r>
        <w:t xml:space="preserve"> </w:t>
      </w:r>
      <w:r w:rsidRPr="00A0143E">
        <w:t>National Collaborating Centre for Determinants of Health, St. Francis Xavier Univers</w:t>
      </w:r>
      <w:r>
        <w:t>ity</w:t>
      </w:r>
    </w:p>
    <w:p w14:paraId="2B306170" w14:textId="7A56831E" w:rsidR="00EC5D9E" w:rsidRDefault="00494D78" w:rsidP="00494D78">
      <w:pPr>
        <w:tabs>
          <w:tab w:val="left" w:pos="2027"/>
        </w:tabs>
      </w:pPr>
      <w:r>
        <w:tab/>
      </w:r>
    </w:p>
    <w:p w14:paraId="25726E95" w14:textId="664AC135" w:rsidR="00AA0111" w:rsidRDefault="00AA0111" w:rsidP="00A0143E">
      <w:r>
        <w:rPr>
          <w:lang w:val="de-DE"/>
        </w:rPr>
        <w:t>Ö</w:t>
      </w:r>
      <w:r>
        <w:t xml:space="preserve">stlin P, Schrecker T, Sadana R, Bonnefoy J, Gilson L et al. 2011. Priorities for research on equity and health: towards an equity focused health research agenda. </w:t>
      </w:r>
      <w:r w:rsidRPr="00E32E5E">
        <w:rPr>
          <w:i/>
        </w:rPr>
        <w:t>PLOS Med 8</w:t>
      </w:r>
      <w:r>
        <w:t>(11):e1001115</w:t>
      </w:r>
    </w:p>
    <w:p w14:paraId="19F59F54" w14:textId="77777777" w:rsidR="006C1B42" w:rsidRDefault="006C1B42" w:rsidP="00A0143E"/>
    <w:p w14:paraId="7EEE0BCA" w14:textId="46DB0A6C" w:rsidR="006C1B42" w:rsidRDefault="006C1B42" w:rsidP="00A0143E">
      <w:r>
        <w:t>Rayner</w:t>
      </w:r>
      <w:r w:rsidR="00AA0111">
        <w:t>, G</w:t>
      </w:r>
      <w:r>
        <w:t xml:space="preserve"> and Lang,</w:t>
      </w:r>
      <w:r w:rsidR="00AA0111">
        <w:t xml:space="preserve"> T.</w:t>
      </w:r>
      <w:r>
        <w:t xml:space="preserve"> 2012. </w:t>
      </w:r>
      <w:r w:rsidRPr="00494D78">
        <w:rPr>
          <w:i/>
        </w:rPr>
        <w:t>Ecological Public Health</w:t>
      </w:r>
      <w:r w:rsidR="00AA0111" w:rsidRPr="00494D78">
        <w:rPr>
          <w:i/>
        </w:rPr>
        <w:t>: reshaping the conditions for good health</w:t>
      </w:r>
      <w:r w:rsidR="00AA0111">
        <w:t>. Routledge, London and New York</w:t>
      </w:r>
    </w:p>
    <w:p w14:paraId="5CD40F5A" w14:textId="77777777" w:rsidR="00E32E5E" w:rsidRDefault="00E32E5E" w:rsidP="00A0143E"/>
    <w:p w14:paraId="4E5DEA21" w14:textId="127A3B1C" w:rsidR="00E32E5E" w:rsidRDefault="00E32E5E" w:rsidP="00A0143E">
      <w:r w:rsidRPr="00E32E5E">
        <w:t xml:space="preserve">Simpson, L. R. (2004). Anticolonial strategies for the recovery and maintenance of Indigenous knowledge. </w:t>
      </w:r>
      <w:r w:rsidRPr="00E32E5E">
        <w:rPr>
          <w:i/>
        </w:rPr>
        <w:t>The American Indian Quarterly</w:t>
      </w:r>
      <w:r w:rsidRPr="00E32E5E">
        <w:t>, 28(3), 373-384.</w:t>
      </w:r>
    </w:p>
    <w:sectPr w:rsidR="00E32E5E" w:rsidSect="00494D78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9"/>
    <w:rsid w:val="00013B81"/>
    <w:rsid w:val="00066199"/>
    <w:rsid w:val="00122D79"/>
    <w:rsid w:val="00160A31"/>
    <w:rsid w:val="00310A92"/>
    <w:rsid w:val="0038277E"/>
    <w:rsid w:val="00402ED0"/>
    <w:rsid w:val="004200F2"/>
    <w:rsid w:val="00494D78"/>
    <w:rsid w:val="005044F5"/>
    <w:rsid w:val="005065E3"/>
    <w:rsid w:val="00577E52"/>
    <w:rsid w:val="00643AF7"/>
    <w:rsid w:val="006C1B42"/>
    <w:rsid w:val="00834790"/>
    <w:rsid w:val="00856004"/>
    <w:rsid w:val="00863079"/>
    <w:rsid w:val="008E6227"/>
    <w:rsid w:val="00932D66"/>
    <w:rsid w:val="00933550"/>
    <w:rsid w:val="009577D1"/>
    <w:rsid w:val="0097111E"/>
    <w:rsid w:val="00975DB1"/>
    <w:rsid w:val="009874E9"/>
    <w:rsid w:val="00A0143E"/>
    <w:rsid w:val="00AA0111"/>
    <w:rsid w:val="00AD2A57"/>
    <w:rsid w:val="00B21345"/>
    <w:rsid w:val="00B61609"/>
    <w:rsid w:val="00BD1028"/>
    <w:rsid w:val="00C67E2A"/>
    <w:rsid w:val="00C805DD"/>
    <w:rsid w:val="00C87646"/>
    <w:rsid w:val="00D761A9"/>
    <w:rsid w:val="00E32E5E"/>
    <w:rsid w:val="00EC5D9E"/>
    <w:rsid w:val="00F43BB4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FA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05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5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D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92412"/>
  </w:style>
  <w:style w:type="character" w:styleId="Hyperlink">
    <w:name w:val="Hyperlink"/>
    <w:basedOn w:val="DefaultParagraphFont"/>
    <w:uiPriority w:val="99"/>
    <w:unhideWhenUsed/>
    <w:rsid w:val="00B21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05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5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D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92412"/>
  </w:style>
  <w:style w:type="character" w:styleId="Hyperlink">
    <w:name w:val="Hyperlink"/>
    <w:basedOn w:val="DefaultParagraphFont"/>
    <w:uiPriority w:val="99"/>
    <w:unhideWhenUsed/>
    <w:rsid w:val="00B21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aron.franks@queensu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4788</Characters>
  <Application>Microsoft Macintosh Word</Application>
  <DocSecurity>0</DocSecurity>
  <Lines>39</Lines>
  <Paragraphs>11</Paragraphs>
  <ScaleCrop>false</ScaleCrop>
  <Company>University of Manitoba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Masuda</dc:creator>
  <cp:keywords/>
  <dc:description/>
  <cp:lastModifiedBy>Jeff Masuda</cp:lastModifiedBy>
  <cp:revision>6</cp:revision>
  <dcterms:created xsi:type="dcterms:W3CDTF">2014-10-14T11:44:00Z</dcterms:created>
  <dcterms:modified xsi:type="dcterms:W3CDTF">2014-10-15T14:04:00Z</dcterms:modified>
</cp:coreProperties>
</file>